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540"/>
        </w:tabs>
        <w:spacing w:after="0" w:line="240" w:lineRule="auto"/>
        <w:rPr>
          <w:rFonts w:ascii="Times New Roman" w:hAnsi="Times New Roman" w:cs="Times New Roman"/>
          <w:b/>
          <w:sz w:val="18"/>
          <w:szCs w:val="18"/>
        </w:rPr>
      </w:pPr>
      <w:bookmarkStart w:id="0" w:name="_GoBack"/>
      <w:bookmarkEnd w:id="0"/>
    </w:p>
    <w:p>
      <w:pPr>
        <w:spacing w:after="20" w:line="240" w:lineRule="auto"/>
        <w:ind w:firstLine="708"/>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Рубрика: Туризм</w:t>
      </w:r>
    </w:p>
    <w:p>
      <w:pPr>
        <w:spacing w:after="20" w:line="240" w:lineRule="auto"/>
        <w:ind w:firstLine="708"/>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УДК 379.85</w:t>
      </w:r>
    </w:p>
    <w:p>
      <w:pPr>
        <w:spacing w:after="20" w:line="240" w:lineRule="auto"/>
        <w:ind w:firstLine="708"/>
        <w:jc w:val="both"/>
        <w:rPr>
          <w:rFonts w:ascii="Times New Roman" w:hAnsi="Times New Roman" w:eastAsia="Times New Roman" w:cs="Times New Roman"/>
          <w:color w:val="000000"/>
          <w:sz w:val="24"/>
          <w:szCs w:val="24"/>
          <w:lang w:eastAsia="zh-CN"/>
        </w:rPr>
      </w:pP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b/>
          <w:bCs/>
          <w:color w:val="000000"/>
          <w:sz w:val="24"/>
          <w:szCs w:val="24"/>
          <w:lang w:eastAsia="zh-CN"/>
        </w:rPr>
        <w:t>Организационные аспекты разработки методов обслуживания инклюзивных туристов (на примере ГК «Азимут Отель-Владивосток», </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b/>
          <w:bCs/>
          <w:color w:val="000000"/>
          <w:sz w:val="24"/>
          <w:szCs w:val="24"/>
          <w:lang w:eastAsia="zh-CN"/>
        </w:rPr>
        <w:t>г. Владивосток)</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Платковская Виктория Юрьевна,</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бакалавр</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i/>
          <w:iCs/>
          <w:color w:val="000000"/>
          <w:sz w:val="24"/>
          <w:szCs w:val="24"/>
          <w:lang w:eastAsia="zh-CN"/>
        </w:rPr>
        <w:t>Владивостокский государственный университет экономики и сервиса</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i/>
          <w:iCs/>
          <w:color w:val="000000"/>
          <w:sz w:val="24"/>
          <w:szCs w:val="24"/>
          <w:lang w:eastAsia="zh-CN"/>
        </w:rPr>
        <w:t>Россия. Владивосток</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val="en-US" w:eastAsia="zh-CN"/>
        </w:rPr>
        <w:t>E</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mail</w:t>
      </w:r>
      <w:r>
        <w:rPr>
          <w:rFonts w:ascii="Times New Roman" w:hAnsi="Times New Roman" w:eastAsia="Times New Roman" w:cs="Times New Roman"/>
          <w:color w:val="000000"/>
          <w:sz w:val="24"/>
          <w:szCs w:val="24"/>
          <w:lang w:eastAsia="zh-CN"/>
        </w:rPr>
        <w:t xml:space="preserve">: </w:t>
      </w:r>
      <w:r>
        <w:rPr>
          <w:rFonts w:ascii="Times New Roman" w:hAnsi="Times New Roman" w:eastAsia="Times New Roman" w:cs="Times New Roman"/>
          <w:color w:val="000000"/>
          <w:sz w:val="24"/>
          <w:szCs w:val="24"/>
          <w:lang w:val="en-US" w:eastAsia="zh-CN"/>
        </w:rPr>
        <w:t>vikinator</w:t>
      </w:r>
      <w:r>
        <w:rPr>
          <w:rFonts w:ascii="Times New Roman" w:hAnsi="Times New Roman" w:eastAsia="Times New Roman" w:cs="Times New Roman"/>
          <w:color w:val="000000"/>
          <w:sz w:val="24"/>
          <w:szCs w:val="24"/>
          <w:lang w:eastAsia="zh-CN"/>
        </w:rPr>
        <w:t>1@</w:t>
      </w:r>
      <w:r>
        <w:rPr>
          <w:rFonts w:ascii="Times New Roman" w:hAnsi="Times New Roman" w:eastAsia="Times New Roman" w:cs="Times New Roman"/>
          <w:color w:val="000000"/>
          <w:sz w:val="24"/>
          <w:szCs w:val="24"/>
          <w:lang w:val="en-US" w:eastAsia="zh-CN"/>
        </w:rPr>
        <w:t>mail</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ru</w:t>
      </w:r>
      <w:r>
        <w:rPr>
          <w:rFonts w:ascii="Times New Roman" w:hAnsi="Times New Roman" w:eastAsia="Times New Roman" w:cs="Times New Roman"/>
          <w:color w:val="000000"/>
          <w:sz w:val="24"/>
          <w:szCs w:val="24"/>
          <w:lang w:eastAsia="zh-CN"/>
        </w:rPr>
        <w:t>, тел. +79147014554</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Кононов Артем Юрьевич,</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доцент, кафедра туризма и экологии</w:t>
      </w:r>
    </w:p>
    <w:p>
      <w:pPr>
        <w:spacing w:after="0" w:line="240" w:lineRule="auto"/>
        <w:ind w:firstLine="709"/>
        <w:jc w:val="center"/>
        <w:rPr>
          <w:rFonts w:ascii="Times New Roman" w:hAnsi="Times New Roman" w:eastAsia="Times New Roman" w:cs="Times New Roman"/>
          <w:color w:val="000000"/>
          <w:sz w:val="24"/>
          <w:szCs w:val="24"/>
          <w:lang w:val="en-US" w:eastAsia="zh-CN"/>
        </w:rPr>
      </w:pPr>
      <w:r>
        <w:rPr>
          <w:rFonts w:ascii="Times New Roman" w:hAnsi="Times New Roman" w:eastAsia="Times New Roman" w:cs="Times New Roman"/>
          <w:color w:val="000000"/>
          <w:sz w:val="24"/>
          <w:szCs w:val="24"/>
          <w:lang w:val="en-US" w:eastAsia="zh-CN"/>
        </w:rPr>
        <w:t>E-mail: artem.kononov@yahoo.com</w:t>
      </w:r>
    </w:p>
    <w:p>
      <w:pPr>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ул. Гоголя, 41, г. Владивосток, Приморский край, Россия, 690014</w:t>
      </w:r>
    </w:p>
    <w:p>
      <w:pPr>
        <w:spacing w:after="0" w:line="240" w:lineRule="auto"/>
        <w:ind w:firstLine="709"/>
        <w:jc w:val="both"/>
        <w:rPr>
          <w:rFonts w:ascii="Times New Roman" w:hAnsi="Times New Roman" w:eastAsia="Times New Roman" w:cs="Times New Roman"/>
          <w:i/>
          <w:iCs/>
          <w:color w:val="000000"/>
          <w:sz w:val="24"/>
          <w:szCs w:val="24"/>
          <w:lang w:eastAsia="zh-CN"/>
        </w:rPr>
      </w:pPr>
    </w:p>
    <w:p>
      <w:pPr>
        <w:spacing w:after="0" w:line="240" w:lineRule="auto"/>
        <w:ind w:firstLine="709"/>
        <w:jc w:val="both"/>
        <w:rPr>
          <w:rFonts w:ascii="Times New Roman" w:hAnsi="Times New Roman" w:eastAsia="Times New Roman" w:cs="Times New Roman"/>
          <w:i/>
          <w:iCs/>
          <w:color w:val="000000"/>
          <w:sz w:val="24"/>
          <w:szCs w:val="24"/>
          <w:lang w:eastAsia="zh-CN"/>
        </w:rPr>
      </w:pP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i/>
          <w:iCs/>
          <w:color w:val="000000"/>
          <w:sz w:val="24"/>
          <w:szCs w:val="24"/>
          <w:lang w:eastAsia="zh-CN"/>
        </w:rPr>
        <w:t>В статье рассмотрена деятельность отеля по размещению инклюзивных туристов, выявлены слабые стороны при обслуживании гостей с ограниченными возможностями здоровья, а также предложены рекомендации по усовершенствованию работы с инклюзивными туристами.</w:t>
      </w:r>
    </w:p>
    <w:p>
      <w:pPr>
        <w:snapToGrid w:val="0"/>
        <w:spacing w:after="0" w:line="240" w:lineRule="auto"/>
        <w:ind w:firstLine="709"/>
        <w:jc w:val="both"/>
        <w:rPr>
          <w:rFonts w:ascii="Times New Roman" w:hAnsi="Times New Roman" w:eastAsia="Times New Roman" w:cs="Times New Roman"/>
          <w:sz w:val="24"/>
          <w:szCs w:val="24"/>
          <w:lang w:eastAsia="zh-CN"/>
        </w:rPr>
      </w:pP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b/>
          <w:bCs/>
          <w:i/>
          <w:iCs/>
          <w:color w:val="000000"/>
          <w:sz w:val="24"/>
          <w:szCs w:val="24"/>
          <w:lang w:eastAsia="zh-CN"/>
        </w:rPr>
        <w:t xml:space="preserve">Ключевые слова: </w:t>
      </w:r>
      <w:r>
        <w:rPr>
          <w:rFonts w:ascii="Times New Roman" w:hAnsi="Times New Roman" w:eastAsia="Times New Roman" w:cs="Times New Roman"/>
          <w:i/>
          <w:iCs/>
          <w:color w:val="000000"/>
          <w:sz w:val="24"/>
          <w:szCs w:val="24"/>
          <w:lang w:eastAsia="zh-CN"/>
        </w:rPr>
        <w:t>отель, услуги, инклюзивный, туризм, анализ,</w:t>
      </w:r>
      <w:r>
        <w:rPr>
          <w:rFonts w:ascii="Times New Roman" w:hAnsi="Times New Roman" w:eastAsia="Times New Roman" w:cs="Times New Roman"/>
          <w:b/>
          <w:bCs/>
          <w:i/>
          <w:iCs/>
          <w:color w:val="000000"/>
          <w:sz w:val="24"/>
          <w:szCs w:val="24"/>
          <w:lang w:eastAsia="zh-CN"/>
        </w:rPr>
        <w:t xml:space="preserve"> </w:t>
      </w:r>
      <w:r>
        <w:rPr>
          <w:rFonts w:ascii="Times New Roman" w:hAnsi="Times New Roman" w:eastAsia="Times New Roman" w:cs="Times New Roman"/>
          <w:i/>
          <w:iCs/>
          <w:color w:val="000000"/>
          <w:sz w:val="24"/>
          <w:szCs w:val="24"/>
          <w:lang w:eastAsia="zh-CN"/>
        </w:rPr>
        <w:t>ограниченные возможности здоровья, обслуживание.</w:t>
      </w:r>
      <w:r>
        <w:rPr>
          <w:rFonts w:ascii="Times New Roman" w:hAnsi="Times New Roman" w:cs="Times New Roman" w:eastAsiaTheme="minorEastAsia"/>
          <w:sz w:val="24"/>
          <w:szCs w:val="24"/>
          <w:lang w:eastAsia="zh-CN"/>
        </w:rPr>
        <w:t xml:space="preserve"> </w:t>
      </w:r>
    </w:p>
    <w:p>
      <w:pPr>
        <w:snapToGrid w:val="0"/>
        <w:spacing w:after="0" w:line="240" w:lineRule="auto"/>
        <w:ind w:firstLine="709"/>
        <w:jc w:val="both"/>
        <w:rPr>
          <w:rFonts w:ascii="Times New Roman" w:hAnsi="Times New Roman" w:eastAsia="Times New Roman" w:cs="Times New Roman"/>
          <w:sz w:val="24"/>
          <w:szCs w:val="24"/>
          <w:lang w:eastAsia="zh-CN"/>
        </w:rPr>
      </w:pPr>
    </w:p>
    <w:p>
      <w:pPr>
        <w:snapToGrid w:val="0"/>
        <w:spacing w:after="0" w:line="240" w:lineRule="auto"/>
        <w:ind w:firstLine="709"/>
        <w:jc w:val="both"/>
        <w:rPr>
          <w:rFonts w:ascii="Times New Roman" w:hAnsi="Times New Roman" w:eastAsia="Times New Roman" w:cs="Times New Roman"/>
          <w:sz w:val="24"/>
          <w:szCs w:val="24"/>
          <w:lang w:val="en-US" w:eastAsia="zh-CN"/>
        </w:rPr>
      </w:pPr>
      <w:r>
        <w:rPr>
          <w:rFonts w:ascii="Times New Roman" w:hAnsi="Times New Roman" w:eastAsia="Times New Roman" w:cs="Times New Roman"/>
          <w:b/>
          <w:bCs/>
          <w:i/>
          <w:iCs/>
          <w:color w:val="000000"/>
          <w:sz w:val="24"/>
          <w:szCs w:val="24"/>
          <w:lang w:val="en-US" w:eastAsia="zh-CN"/>
        </w:rPr>
        <w:t>Organizational aspects of developing methods of service for inclusive tourists (on the example of Azimut Hotel-Vladivostok)</w:t>
      </w:r>
    </w:p>
    <w:p>
      <w:pPr>
        <w:snapToGrid w:val="0"/>
        <w:spacing w:after="0" w:line="240" w:lineRule="auto"/>
        <w:ind w:firstLine="709"/>
        <w:jc w:val="both"/>
        <w:rPr>
          <w:rFonts w:ascii="Times New Roman" w:hAnsi="Times New Roman" w:eastAsia="Times New Roman" w:cs="Times New Roman"/>
          <w:sz w:val="24"/>
          <w:szCs w:val="24"/>
          <w:lang w:val="en-US" w:eastAsia="zh-CN"/>
        </w:rPr>
      </w:pPr>
    </w:p>
    <w:p>
      <w:pPr>
        <w:snapToGrid w:val="0"/>
        <w:spacing w:after="0" w:line="240" w:lineRule="auto"/>
        <w:ind w:firstLine="709"/>
        <w:jc w:val="both"/>
        <w:rPr>
          <w:rFonts w:ascii="Times New Roman" w:hAnsi="Times New Roman" w:eastAsia="Times New Roman" w:cs="Times New Roman"/>
          <w:sz w:val="24"/>
          <w:szCs w:val="24"/>
          <w:lang w:val="en-US" w:eastAsia="zh-CN"/>
        </w:rPr>
      </w:pPr>
      <w:r>
        <w:rPr>
          <w:rFonts w:ascii="Times New Roman" w:hAnsi="Times New Roman" w:eastAsia="Times New Roman" w:cs="Times New Roman"/>
          <w:i/>
          <w:iCs/>
          <w:color w:val="000000"/>
          <w:sz w:val="24"/>
          <w:szCs w:val="24"/>
          <w:lang w:val="en-US" w:eastAsia="zh-CN"/>
        </w:rPr>
        <w:t>The article presents the hotel's activities for accommodating inclusive tourists, identifies weaknesses in serving guests with disabilities, and offers recommendations for improving the work with inclusive tourists.</w:t>
      </w:r>
    </w:p>
    <w:p>
      <w:pPr>
        <w:snapToGrid w:val="0"/>
        <w:spacing w:after="0" w:line="240" w:lineRule="auto"/>
        <w:ind w:firstLine="709"/>
        <w:jc w:val="both"/>
        <w:rPr>
          <w:rFonts w:ascii="Times New Roman" w:hAnsi="Times New Roman" w:eastAsia="Times New Roman" w:cs="Times New Roman"/>
          <w:sz w:val="24"/>
          <w:szCs w:val="24"/>
          <w:lang w:val="en-US" w:eastAsia="zh-CN"/>
        </w:rPr>
      </w:pPr>
    </w:p>
    <w:p>
      <w:pPr>
        <w:snapToGrid w:val="0"/>
        <w:spacing w:after="0" w:line="240" w:lineRule="auto"/>
        <w:ind w:firstLine="709"/>
        <w:jc w:val="both"/>
        <w:rPr>
          <w:rFonts w:ascii="Times New Roman" w:hAnsi="Times New Roman" w:eastAsia="Times New Roman" w:cs="Times New Roman"/>
          <w:sz w:val="24"/>
          <w:szCs w:val="24"/>
          <w:lang w:val="en-US" w:eastAsia="zh-CN"/>
        </w:rPr>
      </w:pPr>
      <w:r>
        <w:rPr>
          <w:rFonts w:ascii="Times New Roman" w:hAnsi="Times New Roman" w:eastAsia="Times New Roman" w:cs="Times New Roman"/>
          <w:b/>
          <w:bCs/>
          <w:i/>
          <w:iCs/>
          <w:color w:val="000000"/>
          <w:sz w:val="24"/>
          <w:szCs w:val="24"/>
          <w:lang w:val="en-US" w:eastAsia="zh-CN"/>
        </w:rPr>
        <w:t>Keywords:</w:t>
      </w:r>
      <w:r>
        <w:rPr>
          <w:rFonts w:ascii="Times New Roman" w:hAnsi="Times New Roman" w:eastAsia="Times New Roman" w:cs="Times New Roman"/>
          <w:i/>
          <w:iCs/>
          <w:color w:val="000000"/>
          <w:sz w:val="24"/>
          <w:szCs w:val="24"/>
          <w:lang w:val="en-US" w:eastAsia="zh-CN"/>
        </w:rPr>
        <w:t xml:space="preserve"> hotel, services, inclusive, tourism, analysis, disabilit</w:t>
      </w:r>
      <w:r>
        <w:rPr>
          <w:rFonts w:ascii="Times New Roman" w:hAnsi="Times New Roman" w:cs="Times New Roman" w:eastAsiaTheme="minorEastAsia"/>
          <w:i/>
          <w:iCs/>
          <w:color w:val="000000"/>
          <w:sz w:val="24"/>
          <w:szCs w:val="24"/>
          <w:lang w:val="en-US" w:eastAsia="zh-CN"/>
        </w:rPr>
        <w:t>ies</w:t>
      </w:r>
      <w:r>
        <w:rPr>
          <w:rFonts w:ascii="Times New Roman" w:hAnsi="Times New Roman" w:eastAsia="Times New Roman" w:cs="Times New Roman"/>
          <w:i/>
          <w:iCs/>
          <w:color w:val="000000"/>
          <w:sz w:val="24"/>
          <w:szCs w:val="24"/>
          <w:lang w:val="en-US" w:eastAsia="zh-CN"/>
        </w:rPr>
        <w:t>, service.</w:t>
      </w:r>
    </w:p>
    <w:p>
      <w:pPr>
        <w:snapToGrid w:val="0"/>
        <w:spacing w:after="0" w:line="240" w:lineRule="auto"/>
        <w:ind w:firstLine="709"/>
        <w:jc w:val="both"/>
        <w:rPr>
          <w:rFonts w:ascii="Times New Roman" w:hAnsi="Times New Roman" w:eastAsia="Times New Roman" w:cs="Times New Roman"/>
          <w:color w:val="000000"/>
          <w:sz w:val="24"/>
          <w:szCs w:val="24"/>
          <w:lang w:val="en-US" w:eastAsia="zh-CN"/>
        </w:rPr>
      </w:pP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Актуальность темы исследования состоит в том, что создание безбарьерной среды для лиц с ограниченными возможностями играет важную роль в привлечении гостей и может стать серьезным конкурентным преимуществом гостиничного предприятия. Внимание к особым потребностям туристов способствует повышению туристской привлекательности региона в целом, поэтому существует необходимость включения лиц с ограниченными возможностями здоровья, далее (ОВЗ) в социально-значимую деятельность.</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Данная проблема актуальна для изучения в настоящее время, в том числе изучена в трудах Н.А. Зайцевой «Безбарьерный туризм» и А.Д. Бавельского «Безбарьерный туризм в Москве».</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Целью данной работы является разработка методов обслуживания инклюзивных туристов в гостиничных предприятиях на примере ГК «Азимут Отель-Владивосток», г. Владивосток.</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При написании использовались методы: анализ, синтез, опрос.</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Безбарьерная среда - это физическое окружение, объекты транспорта, информации и связи, дооборудованные с учётом потребностей, возникающих в связи с инвалидностью, и позволяющие людям с ограниченными физическими возможностями вести независимый образ жизни.</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По данным федеральной службы государственной статистики в Российской Федерации проживают почти 12 млн. лиц с ограниченными возможностями здоровья. Однако, в России наблюдается снижение численности лиц с ОВЗ, но это скорее происходит за счет естественной убыли населения. На рисунке 1 представлены данные динамики численности лиц с ограниченными возможностями в России с 2015 по 2019 гг.</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p>
    <w:p>
      <w:pPr>
        <w:snapToGrid w:val="0"/>
        <w:spacing w:after="0" w:line="240" w:lineRule="auto"/>
        <w:ind w:firstLine="709"/>
        <w:jc w:val="both"/>
        <w:rPr>
          <w:rFonts w:ascii="Times New Roman" w:hAnsi="Times New Roman" w:eastAsia="Times New Roman" w:cs="Times New Roman"/>
          <w:color w:val="000000"/>
          <w:sz w:val="24"/>
          <w:szCs w:val="24"/>
          <w:lang w:eastAsia="zh-CN"/>
        </w:rPr>
      </w:pPr>
    </w:p>
    <w:p>
      <w:pPr>
        <w:snapToGrid w:val="0"/>
        <w:spacing w:after="0" w:line="240" w:lineRule="auto"/>
        <w:ind w:firstLine="709"/>
        <w:jc w:val="center"/>
        <w:rPr>
          <w:rFonts w:ascii="Times New Roman" w:hAnsi="Times New Roman" w:eastAsia="Times New Roman" w:cs="Times New Roman"/>
          <w:color w:val="000000"/>
          <w:sz w:val="24"/>
          <w:szCs w:val="24"/>
          <w:lang w:eastAsia="zh-CN"/>
        </w:rPr>
      </w:pPr>
      <w:r>
        <w:rPr>
          <w:rFonts w:eastAsiaTheme="minorEastAsia"/>
          <w:lang w:eastAsia="zh-CN"/>
        </w:rPr>
        <w:drawing>
          <wp:inline distT="0" distB="0" distL="0" distR="0">
            <wp:extent cx="3333750" cy="1743075"/>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napToGrid w:val="0"/>
        <w:spacing w:after="0" w:line="240" w:lineRule="auto"/>
        <w:ind w:firstLine="709"/>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Рис.1 Динамика численности лиц с ОВЗ в России, тыс.чел</w:t>
      </w:r>
    </w:p>
    <w:p>
      <w:pPr>
        <w:snapToGrid w:val="0"/>
        <w:spacing w:after="120" w:line="240" w:lineRule="auto"/>
        <w:ind w:firstLine="709"/>
        <w:rPr>
          <w:rFonts w:eastAsiaTheme="minorEastAsia"/>
          <w:color w:val="000000"/>
          <w:sz w:val="24"/>
          <w:szCs w:val="24"/>
          <w:lang w:eastAsia="zh-CN"/>
        </w:rPr>
      </w:pPr>
      <w:r>
        <w:rPr>
          <w:rFonts w:ascii="Times New Roman" w:hAnsi="Times New Roman" w:eastAsia="Times New Roman" w:cs="Times New Roman"/>
          <w:color w:val="000000"/>
          <w:sz w:val="24"/>
          <w:szCs w:val="24"/>
          <w:lang w:eastAsia="zh-CN"/>
        </w:rPr>
        <w:t>Составлено автором по [3]</w:t>
      </w:r>
    </w:p>
    <w:p>
      <w:pPr>
        <w:snapToGrid w:val="0"/>
        <w:spacing w:after="12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Около половины лиц с ОВЗ – молодые люди в возрасте до 40 лет, то есть активные граждане, которые хотели бы комфортно путешествовать.</w:t>
      </w:r>
    </w:p>
    <w:p>
      <w:pPr>
        <w:snapToGrid w:val="0"/>
        <w:spacing w:after="0" w:line="240" w:lineRule="auto"/>
        <w:ind w:firstLine="708"/>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Соотношение лиц с ограниченными возможностями разной категории представлено на рисунке 2, где в процентном соотношении отражена численность разных групп инвалидности в 2019 г. при общей численности инвалидов 11 млн. 947 тыс. человек.</w:t>
      </w:r>
    </w:p>
    <w:p>
      <w:pPr>
        <w:snapToGrid w:val="0"/>
        <w:spacing w:after="0" w:line="240" w:lineRule="auto"/>
        <w:ind w:firstLine="708"/>
        <w:jc w:val="both"/>
        <w:rPr>
          <w:rFonts w:ascii="Times New Roman" w:hAnsi="Times New Roman" w:eastAsia="Times New Roman" w:cs="Times New Roman"/>
          <w:color w:val="000000"/>
          <w:sz w:val="24"/>
          <w:szCs w:val="24"/>
          <w:lang w:eastAsia="zh-CN"/>
        </w:rPr>
      </w:pPr>
    </w:p>
    <w:p>
      <w:pPr>
        <w:snapToGrid w:val="0"/>
        <w:spacing w:after="0" w:line="240" w:lineRule="auto"/>
        <w:ind w:firstLine="709"/>
        <w:rPr>
          <w:rFonts w:ascii="Times New Roman" w:hAnsi="Times New Roman" w:eastAsia="Times New Roman" w:cs="Times New Roman"/>
          <w:color w:val="000000"/>
          <w:sz w:val="24"/>
          <w:szCs w:val="24"/>
          <w:lang w:eastAsia="zh-CN"/>
        </w:rPr>
      </w:pPr>
      <w:r>
        <w:rPr>
          <w:rFonts w:eastAsiaTheme="minorEastAsia"/>
          <w:lang w:eastAsia="zh-CN"/>
        </w:rPr>
        <w:drawing>
          <wp:anchor distT="0" distB="0" distL="114300" distR="114300" simplePos="0" relativeHeight="251661312" behindDoc="0" locked="0" layoutInCell="1" allowOverlap="1">
            <wp:simplePos x="0" y="0"/>
            <wp:positionH relativeFrom="margin">
              <wp:align>center</wp:align>
            </wp:positionH>
            <wp:positionV relativeFrom="paragraph">
              <wp:posOffset>19050</wp:posOffset>
            </wp:positionV>
            <wp:extent cx="3095625" cy="1962150"/>
            <wp:effectExtent l="0" t="0" r="0" b="0"/>
            <wp:wrapSquare wrapText="bothSides"/>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ascii="Times New Roman" w:hAnsi="Times New Roman" w:eastAsia="Times New Roman" w:cs="Times New Roman"/>
          <w:color w:val="000000"/>
          <w:sz w:val="24"/>
          <w:szCs w:val="24"/>
          <w:lang w:eastAsia="zh-CN"/>
        </w:rPr>
        <w:br w:type="textWrapping" w:clear="all"/>
      </w:r>
    </w:p>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Рис. 2 - Численность лиц ОВЗ в России по группам инвалидности (тыс. чел)</w:t>
      </w:r>
    </w:p>
    <w:p>
      <w:pPr>
        <w:snapToGrid w:val="0"/>
        <w:ind w:firstLine="709"/>
        <w:rPr>
          <w:rFonts w:eastAsiaTheme="minorEastAsia"/>
          <w:color w:val="000000"/>
          <w:sz w:val="24"/>
          <w:szCs w:val="24"/>
          <w:lang w:eastAsia="zh-CN"/>
        </w:rPr>
      </w:pPr>
      <w:r>
        <w:rPr>
          <w:rFonts w:ascii="Times New Roman" w:hAnsi="Times New Roman" w:eastAsia="Times New Roman" w:cs="Times New Roman"/>
          <w:color w:val="000000"/>
          <w:sz w:val="24"/>
          <w:szCs w:val="24"/>
          <w:lang w:eastAsia="zh-CN"/>
        </w:rPr>
        <w:t>Составлено автором по [3]</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По численности лиц с ОВЗ, больше всего в России инвалидов II группы, и менее распространенной категорией являются дети- инвалиды.</w:t>
      </w:r>
    </w:p>
    <w:p>
      <w:pPr>
        <w:snapToGrid w:val="0"/>
        <w:spacing w:after="0" w:line="240" w:lineRule="auto"/>
        <w:ind w:firstLine="709"/>
        <w:jc w:val="both"/>
        <w:rPr>
          <w:rFonts w:ascii="Times New Roman" w:hAnsi="Times New Roman" w:cs="Times New Roman" w:eastAsiaTheme="minorEastAsia"/>
          <w:b/>
          <w:bCs/>
          <w:spacing w:val="2"/>
          <w:sz w:val="24"/>
          <w:szCs w:val="24"/>
          <w:highlight w:val="white"/>
          <w:lang w:eastAsia="zh-CN"/>
        </w:rPr>
      </w:pPr>
      <w:r>
        <w:rPr>
          <w:rFonts w:ascii="Times New Roman" w:hAnsi="Times New Roman" w:cs="Times New Roman" w:eastAsiaTheme="minorEastAsia"/>
          <w:spacing w:val="2"/>
          <w:sz w:val="24"/>
          <w:szCs w:val="24"/>
          <w:shd w:val="clear" w:color="auto" w:fill="FFFFFF"/>
          <w:lang w:eastAsia="zh-CN"/>
        </w:rPr>
        <w:t xml:space="preserve">Общие требования к доступным средствам размещения, предназначенным для туристов с ограниченными физическими возможностями и их сопровождающих устанавливает </w:t>
      </w:r>
      <w:r>
        <w:rPr>
          <w:rFonts w:ascii="Times New Roman" w:hAnsi="Times New Roman" w:cs="Times New Roman" w:eastAsiaTheme="minorEastAsia"/>
          <w:bCs/>
          <w:spacing w:val="2"/>
          <w:sz w:val="24"/>
          <w:szCs w:val="24"/>
          <w:shd w:val="clear" w:color="auto" w:fill="FFFFFF"/>
          <w:lang w:eastAsia="zh-CN"/>
        </w:rPr>
        <w:t>ГОСТ Р 55699-2013 «Доступные средства размещения для туристов с ограниченными физическими возможностями».</w:t>
      </w:r>
    </w:p>
    <w:p>
      <w:pPr>
        <w:snapToGrid w:val="0"/>
        <w:spacing w:after="0" w:line="240" w:lineRule="auto"/>
        <w:ind w:firstLine="708"/>
        <w:jc w:val="both"/>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Основные методы обслуживания людей с ограниченными возможностями здоровья (ОВЗ), приведены в таблице 1.</w:t>
      </w:r>
    </w:p>
    <w:p>
      <w:pPr>
        <w:spacing w:after="0" w:line="240" w:lineRule="auto"/>
        <w:ind w:right="480"/>
        <w:rPr>
          <w:rFonts w:ascii="Times New Roman" w:hAnsi="Times New Roman" w:eastAsia="Times New Roman" w:cs="Times New Roman"/>
          <w:sz w:val="24"/>
          <w:szCs w:val="24"/>
          <w:lang w:eastAsia="zh-CN"/>
        </w:rPr>
      </w:pPr>
    </w:p>
    <w:p>
      <w:pPr>
        <w:spacing w:after="0" w:line="240" w:lineRule="auto"/>
        <w:ind w:right="480"/>
        <w:jc w:val="right"/>
        <w:rPr>
          <w:rFonts w:ascii="Times New Roman" w:hAnsi="Times New Roman" w:eastAsiaTheme="minorEastAsia"/>
          <w:i/>
          <w:sz w:val="24"/>
          <w:szCs w:val="24"/>
          <w:lang w:eastAsia="ru-RU"/>
        </w:rPr>
      </w:pPr>
    </w:p>
    <w:p>
      <w:pPr>
        <w:spacing w:after="0" w:line="240" w:lineRule="auto"/>
        <w:ind w:right="480"/>
        <w:jc w:val="right"/>
        <w:rPr>
          <w:rFonts w:ascii="Times New Roman" w:hAnsi="Times New Roman" w:eastAsiaTheme="minorEastAsia"/>
          <w:i/>
          <w:sz w:val="24"/>
          <w:szCs w:val="24"/>
          <w:lang w:eastAsia="ru-RU"/>
        </w:rPr>
      </w:pPr>
    </w:p>
    <w:p>
      <w:pPr>
        <w:spacing w:after="0" w:line="240" w:lineRule="auto"/>
        <w:ind w:right="480"/>
        <w:jc w:val="right"/>
        <w:rPr>
          <w:rFonts w:ascii="Times New Roman" w:hAnsi="Times New Roman" w:eastAsiaTheme="minorEastAsia"/>
          <w:i/>
          <w:sz w:val="24"/>
          <w:szCs w:val="24"/>
          <w:lang w:eastAsia="ru-RU"/>
        </w:rPr>
      </w:pPr>
    </w:p>
    <w:p>
      <w:pPr>
        <w:spacing w:after="0" w:line="240" w:lineRule="auto"/>
        <w:ind w:right="480"/>
        <w:jc w:val="right"/>
        <w:rPr>
          <w:rFonts w:ascii="Times New Roman" w:hAnsi="Times New Roman" w:eastAsiaTheme="minorEastAsia"/>
          <w:i/>
          <w:sz w:val="24"/>
          <w:szCs w:val="24"/>
          <w:lang w:eastAsia="ru-RU"/>
        </w:rPr>
      </w:pPr>
    </w:p>
    <w:p>
      <w:pPr>
        <w:spacing w:after="0" w:line="240" w:lineRule="auto"/>
        <w:ind w:right="480"/>
        <w:jc w:val="right"/>
        <w:rPr>
          <w:rFonts w:ascii="Times New Roman" w:hAnsi="Times New Roman" w:eastAsiaTheme="minorEastAsia"/>
          <w:i/>
          <w:sz w:val="24"/>
          <w:szCs w:val="24"/>
          <w:lang w:eastAsia="ru-RU"/>
        </w:rPr>
      </w:pPr>
    </w:p>
    <w:p>
      <w:pPr>
        <w:spacing w:after="0" w:line="240" w:lineRule="auto"/>
        <w:ind w:right="480"/>
        <w:jc w:val="right"/>
        <w:rPr>
          <w:rFonts w:ascii="Times New Roman" w:hAnsi="Times New Roman" w:eastAsiaTheme="minorEastAsia"/>
          <w:i/>
          <w:sz w:val="24"/>
          <w:szCs w:val="24"/>
          <w:lang w:eastAsia="ru-RU"/>
        </w:rPr>
      </w:pPr>
    </w:p>
    <w:p>
      <w:pPr>
        <w:spacing w:after="0" w:line="240" w:lineRule="auto"/>
        <w:ind w:right="-1"/>
        <w:jc w:val="right"/>
        <w:rPr>
          <w:rFonts w:ascii="Times New Roman" w:hAnsi="Times New Roman" w:eastAsiaTheme="minorEastAsia"/>
          <w:sz w:val="24"/>
          <w:szCs w:val="24"/>
          <w:lang w:eastAsia="ru-RU"/>
        </w:rPr>
      </w:pPr>
      <w:r>
        <w:rPr>
          <w:rFonts w:ascii="Times New Roman" w:hAnsi="Times New Roman" w:eastAsiaTheme="minorEastAsia"/>
          <w:i/>
          <w:sz w:val="24"/>
          <w:szCs w:val="24"/>
          <w:lang w:eastAsia="ru-RU"/>
        </w:rPr>
        <w:t>Таблица 1</w:t>
      </w:r>
    </w:p>
    <w:p>
      <w:pPr>
        <w:spacing w:after="0" w:line="240" w:lineRule="auto"/>
        <w:ind w:right="480"/>
        <w:rPr>
          <w:rFonts w:ascii="Times New Roman" w:hAnsi="Times New Roman" w:eastAsia="Times New Roman" w:cs="Times New Roman"/>
          <w:sz w:val="24"/>
          <w:szCs w:val="24"/>
          <w:lang w:eastAsia="zh-CN"/>
        </w:rPr>
      </w:pPr>
    </w:p>
    <w:p>
      <w:pPr>
        <w:spacing w:after="0" w:line="240" w:lineRule="auto"/>
        <w:ind w:right="480"/>
        <w:jc w:val="center"/>
        <w:rPr>
          <w:rFonts w:ascii="Times New Roman" w:hAnsi="Times New Roman" w:eastAsiaTheme="minorEastAsia"/>
          <w:sz w:val="24"/>
          <w:szCs w:val="24"/>
          <w:lang w:eastAsia="ru-RU"/>
        </w:rPr>
      </w:pPr>
      <w:r>
        <w:rPr>
          <w:rFonts w:ascii="Times New Roman" w:hAnsi="Times New Roman" w:eastAsia="Times New Roman" w:cs="Times New Roman"/>
          <w:sz w:val="24"/>
          <w:szCs w:val="24"/>
          <w:lang w:eastAsia="zh-CN"/>
        </w:rPr>
        <w:t>Основные методы обслуживания людей с ОВЗ</w:t>
      </w:r>
    </w:p>
    <w:tbl>
      <w:tblPr>
        <w:tblStyle w:val="3"/>
        <w:tblW w:w="9628" w:type="dxa"/>
        <w:tblInd w:w="0" w:type="dxa"/>
        <w:tblLayout w:type="autofit"/>
        <w:tblCellMar>
          <w:top w:w="0" w:type="dxa"/>
          <w:left w:w="108" w:type="dxa"/>
          <w:bottom w:w="0" w:type="dxa"/>
          <w:right w:w="108" w:type="dxa"/>
        </w:tblCellMar>
      </w:tblPr>
      <w:tblGrid>
        <w:gridCol w:w="1809"/>
        <w:gridCol w:w="7819"/>
      </w:tblGrid>
      <w:tr>
        <w:tc>
          <w:tcPr>
            <w:tcW w:w="180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 xml:space="preserve">Метод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обслуживания</w:t>
            </w:r>
          </w:p>
        </w:tc>
        <w:tc>
          <w:tcPr>
            <w:tcW w:w="781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Характеристика</w:t>
            </w:r>
          </w:p>
        </w:tc>
      </w:tr>
      <w:tr>
        <w:tc>
          <w:tcPr>
            <w:tcW w:w="180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Услуги для людей с нарушениями развития</w:t>
            </w:r>
          </w:p>
        </w:tc>
        <w:tc>
          <w:tcPr>
            <w:tcW w:w="781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Люди с нарушениями развития используют индивидуально скоординированные услуги и поддержку по своему выбору (например, занятость, образование, гражданские права, здравоохранение), чтобы жить и участвовать в мероприятиях в обществе.</w:t>
            </w:r>
          </w:p>
        </w:tc>
      </w:tr>
      <w:tr>
        <w:tc>
          <w:tcPr>
            <w:tcW w:w="180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Услуги для слабовидящих людей</w:t>
            </w:r>
          </w:p>
        </w:tc>
        <w:tc>
          <w:tcPr>
            <w:tcW w:w="781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Использование больших жирных шрифтов и высококонтрастных комбинаций цветов.</w:t>
            </w:r>
          </w:p>
        </w:tc>
      </w:tr>
      <w:tr>
        <w:trPr>
          <w:trHeight w:val="454" w:hRule="atLeast"/>
        </w:trPr>
        <w:tc>
          <w:tcPr>
            <w:tcW w:w="1809" w:type="dxa"/>
            <w:tcBorders>
              <w:top w:val="single" w:color="000000" w:sz="4" w:space="0"/>
              <w:left w:val="single" w:color="000000" w:sz="4" w:space="0"/>
              <w:bottom w:val="single" w:color="000000" w:sz="4" w:space="0"/>
              <w:right w:val="single" w:color="000000" w:sz="4" w:space="0"/>
            </w:tcBorders>
          </w:tcPr>
          <w:p>
            <w:pPr>
              <w:spacing w:after="0" w:line="240" w:lineRule="auto"/>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Услуги для слепых</w:t>
            </w:r>
          </w:p>
        </w:tc>
        <w:tc>
          <w:tcPr>
            <w:tcW w:w="7818" w:type="dxa"/>
            <w:tcBorders>
              <w:top w:val="single" w:color="000000" w:sz="4" w:space="0"/>
              <w:left w:val="single" w:color="000000" w:sz="4" w:space="0"/>
              <w:bottom w:val="single" w:color="000000" w:sz="4" w:space="0"/>
              <w:right w:val="single" w:color="000000" w:sz="4" w:space="0"/>
            </w:tcBorders>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Собаки-поводыри допускаются в здания, автобусы, поезда и другие места, где животные не допускаются.</w:t>
            </w:r>
          </w:p>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Перевод новых произведений в брайлевские или говорящие книги или использование переводчиков текста в речь.</w:t>
            </w:r>
          </w:p>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Доступность их в публичной библиотеке и других общественных учреждениях, а также в загрузочном образе, настроенном для использования инвалидом.</w:t>
            </w:r>
          </w:p>
        </w:tc>
      </w:tr>
      <w:tr>
        <w:tblPrEx>
          <w:tblCellMar>
            <w:top w:w="0" w:type="dxa"/>
            <w:left w:w="108" w:type="dxa"/>
            <w:bottom w:w="0" w:type="dxa"/>
            <w:right w:w="108" w:type="dxa"/>
          </w:tblCellMar>
        </w:tblPrEx>
        <w:trPr>
          <w:trHeight w:val="454" w:hRule="atLeast"/>
        </w:trPr>
        <w:tc>
          <w:tcPr>
            <w:tcW w:w="1809" w:type="dxa"/>
            <w:tcBorders>
              <w:top w:val="single" w:color="000000" w:sz="4" w:space="0"/>
              <w:left w:val="single" w:color="000000" w:sz="4" w:space="0"/>
              <w:bottom w:val="single" w:color="000000" w:sz="4" w:space="0"/>
              <w:right w:val="single" w:color="000000" w:sz="4" w:space="0"/>
            </w:tcBorders>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Услуги для людей с нарушениями слуха</w:t>
            </w:r>
          </w:p>
        </w:tc>
        <w:tc>
          <w:tcPr>
            <w:tcW w:w="7818" w:type="dxa"/>
            <w:tcBorders>
              <w:top w:val="single" w:color="000000" w:sz="4" w:space="0"/>
              <w:left w:val="single" w:color="000000" w:sz="4" w:space="0"/>
              <w:bottom w:val="single" w:color="000000" w:sz="4" w:space="0"/>
              <w:right w:val="single" w:color="000000" w:sz="4" w:space="0"/>
            </w:tcBorders>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Доступ слуховых аппаратов в местах, где устройства записи и передачи обычно не разрешены.</w:t>
            </w:r>
          </w:p>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Субтитры на телевидении.</w:t>
            </w:r>
          </w:p>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Перевод жестового языка</w:t>
            </w:r>
          </w:p>
        </w:tc>
      </w:tr>
    </w:tbl>
    <w:p>
      <w:pPr>
        <w:snapToGrid w:val="0"/>
        <w:spacing w:after="0" w:line="240" w:lineRule="auto"/>
        <w:ind w:firstLine="709"/>
        <w:jc w:val="both"/>
        <w:rPr>
          <w:rFonts w:ascii="Times New Roman" w:hAnsi="Times New Roman" w:eastAsia="Times New Roman" w:cs="Times New Roman"/>
          <w:bCs/>
          <w:color w:val="000000"/>
          <w:sz w:val="24"/>
          <w:szCs w:val="24"/>
          <w:lang w:eastAsia="zh-CN"/>
        </w:rPr>
      </w:pPr>
    </w:p>
    <w:p>
      <w:pPr>
        <w:snapToGrid w:val="0"/>
        <w:spacing w:after="0" w:line="240" w:lineRule="auto"/>
        <w:ind w:firstLine="709"/>
        <w:jc w:val="both"/>
        <w:rPr>
          <w:rFonts w:ascii="Times New Roman" w:hAnsi="Times New Roman" w:eastAsia="Times New Roman" w:cs="Times New Roman"/>
          <w:bCs/>
          <w:color w:val="000000"/>
          <w:sz w:val="24"/>
          <w:szCs w:val="24"/>
          <w:lang w:eastAsia="zh-CN"/>
        </w:rPr>
      </w:pPr>
      <w:r>
        <w:rPr>
          <w:rFonts w:ascii="Times New Roman" w:hAnsi="Times New Roman" w:eastAsia="Times New Roman" w:cs="Times New Roman"/>
          <w:bCs/>
          <w:color w:val="000000"/>
          <w:sz w:val="24"/>
          <w:szCs w:val="24"/>
          <w:lang w:eastAsia="zh-CN"/>
        </w:rPr>
        <w:t>Для сравнения доступности безбарьерной среды в городах России, приведена таблица 2, где отражена степень готовности городов к встрече инклюзивных туристов.</w:t>
      </w:r>
    </w:p>
    <w:p>
      <w:pPr>
        <w:snapToGrid w:val="0"/>
        <w:spacing w:after="0" w:line="240" w:lineRule="auto"/>
        <w:ind w:firstLine="709"/>
        <w:jc w:val="right"/>
        <w:rPr>
          <w:rFonts w:ascii="Times New Roman" w:hAnsi="Times New Roman" w:eastAsia="Times New Roman" w:cs="Times New Roman"/>
          <w:bCs/>
          <w:i/>
          <w:color w:val="000000"/>
          <w:sz w:val="24"/>
          <w:szCs w:val="24"/>
          <w:lang w:eastAsia="zh-CN"/>
        </w:rPr>
      </w:pPr>
    </w:p>
    <w:p>
      <w:pPr>
        <w:snapToGrid w:val="0"/>
        <w:spacing w:after="0" w:line="240" w:lineRule="auto"/>
        <w:ind w:firstLine="709"/>
        <w:jc w:val="right"/>
        <w:rPr>
          <w:rFonts w:ascii="Times New Roman" w:hAnsi="Times New Roman" w:eastAsia="Times New Roman" w:cs="Times New Roman"/>
          <w:bCs/>
          <w:i/>
          <w:color w:val="000000"/>
          <w:sz w:val="24"/>
          <w:szCs w:val="24"/>
          <w:lang w:eastAsia="zh-CN"/>
        </w:rPr>
      </w:pPr>
      <w:r>
        <w:rPr>
          <w:rFonts w:ascii="Times New Roman" w:hAnsi="Times New Roman" w:eastAsia="Times New Roman" w:cs="Times New Roman"/>
          <w:bCs/>
          <w:i/>
          <w:color w:val="000000"/>
          <w:sz w:val="24"/>
          <w:szCs w:val="24"/>
          <w:lang w:eastAsia="zh-CN"/>
        </w:rPr>
        <w:t>Таблица 2</w:t>
      </w:r>
    </w:p>
    <w:p>
      <w:pPr>
        <w:snapToGrid w:val="0"/>
        <w:spacing w:after="0" w:line="240" w:lineRule="auto"/>
        <w:ind w:firstLine="709"/>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Развитие безбарьерного туризма в России</w:t>
      </w:r>
    </w:p>
    <w:tbl>
      <w:tblPr>
        <w:tblStyle w:val="3"/>
        <w:tblW w:w="9634" w:type="dxa"/>
        <w:tblInd w:w="0" w:type="dxa"/>
        <w:tblLayout w:type="autofit"/>
        <w:tblCellMar>
          <w:top w:w="0" w:type="dxa"/>
          <w:left w:w="108" w:type="dxa"/>
          <w:bottom w:w="0" w:type="dxa"/>
          <w:right w:w="108" w:type="dxa"/>
        </w:tblCellMar>
      </w:tblPr>
      <w:tblGrid>
        <w:gridCol w:w="2328"/>
        <w:gridCol w:w="3522"/>
        <w:gridCol w:w="3784"/>
      </w:tblGrid>
      <w:tr>
        <w:tblPrEx>
          <w:tblCellMar>
            <w:top w:w="0" w:type="dxa"/>
            <w:left w:w="108" w:type="dxa"/>
            <w:bottom w:w="0" w:type="dxa"/>
            <w:right w:w="108" w:type="dxa"/>
          </w:tblCellMar>
        </w:tblPrEx>
        <w:trPr>
          <w:trHeight w:val="397" w:hRule="atLeast"/>
        </w:trPr>
        <w:tc>
          <w:tcPr>
            <w:tcW w:w="2328"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center"/>
              <w:rPr>
                <w:rFonts w:ascii="Times New Roman" w:hAnsi="Times New Roman" w:eastAsia="Times New Roman" w:cs="Times New Roman"/>
                <w:bCs/>
                <w:color w:val="000000"/>
                <w:sz w:val="24"/>
                <w:szCs w:val="24"/>
                <w:lang w:eastAsia="zh-CN"/>
              </w:rPr>
            </w:pPr>
            <w:r>
              <w:rPr>
                <w:rFonts w:ascii="Times New Roman" w:hAnsi="Times New Roman" w:eastAsia="Times New Roman" w:cs="Times New Roman"/>
                <w:bCs/>
                <w:color w:val="000000"/>
                <w:sz w:val="24"/>
                <w:szCs w:val="24"/>
                <w:lang w:eastAsia="zh-CN"/>
              </w:rPr>
              <w:t>Город</w:t>
            </w:r>
          </w:p>
        </w:tc>
        <w:tc>
          <w:tcPr>
            <w:tcW w:w="3522"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Безбарьерная среда</w:t>
            </w:r>
          </w:p>
        </w:tc>
        <w:tc>
          <w:tcPr>
            <w:tcW w:w="3784"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Виды туризма</w:t>
            </w:r>
          </w:p>
        </w:tc>
      </w:tr>
      <w:tr>
        <w:trPr>
          <w:trHeight w:val="397" w:hRule="atLeast"/>
        </w:trPr>
        <w:tc>
          <w:tcPr>
            <w:tcW w:w="2328"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 xml:space="preserve">Москва </w:t>
            </w:r>
          </w:p>
        </w:tc>
        <w:tc>
          <w:tcPr>
            <w:tcW w:w="3522"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Адаптированы все элементы туристкой инфраструктуры почти на 30% </w:t>
            </w:r>
          </w:p>
        </w:tc>
        <w:tc>
          <w:tcPr>
            <w:tcW w:w="3784"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Культурно-познавательный,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 xml:space="preserve">лечебно-оздоровительный </w:t>
            </w:r>
          </w:p>
        </w:tc>
      </w:tr>
      <w:tr>
        <w:tblPrEx>
          <w:tblCellMar>
            <w:top w:w="0" w:type="dxa"/>
            <w:left w:w="108" w:type="dxa"/>
            <w:bottom w:w="0" w:type="dxa"/>
            <w:right w:w="108" w:type="dxa"/>
          </w:tblCellMar>
        </w:tblPrEx>
        <w:trPr>
          <w:trHeight w:val="397" w:hRule="atLeast"/>
        </w:trPr>
        <w:tc>
          <w:tcPr>
            <w:tcW w:w="2328"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Санкт-Петербург</w:t>
            </w:r>
            <w:r>
              <w:rPr>
                <w:rFonts w:ascii="Times New Roman" w:hAnsi="Times New Roman" w:eastAsia="Times New Roman" w:cs="Times New Roman"/>
                <w:color w:val="000000"/>
                <w:sz w:val="24"/>
                <w:szCs w:val="24"/>
                <w:lang w:eastAsia="zh-CN"/>
              </w:rPr>
              <w:t xml:space="preserve"> </w:t>
            </w:r>
          </w:p>
        </w:tc>
        <w:tc>
          <w:tcPr>
            <w:tcW w:w="3522"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Адаптированы все элементы туристкой инфраструктуры почти на 30% </w:t>
            </w:r>
          </w:p>
        </w:tc>
        <w:tc>
          <w:tcPr>
            <w:tcW w:w="3784"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Культурно-познавательный,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 xml:space="preserve">лечебно-оздоровительный,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 xml:space="preserve">интеллектуальный </w:t>
            </w:r>
          </w:p>
        </w:tc>
      </w:tr>
      <w:tr>
        <w:trPr>
          <w:trHeight w:val="397" w:hRule="atLeast"/>
        </w:trPr>
        <w:tc>
          <w:tcPr>
            <w:tcW w:w="2328"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 xml:space="preserve">Саратов </w:t>
            </w:r>
          </w:p>
        </w:tc>
        <w:tc>
          <w:tcPr>
            <w:tcW w:w="3522"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Адаптированы все элементы туристкой инфраструктуры почти на 5% </w:t>
            </w:r>
          </w:p>
        </w:tc>
        <w:tc>
          <w:tcPr>
            <w:tcW w:w="3784"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Культурно-познавательный </w:t>
            </w:r>
          </w:p>
        </w:tc>
      </w:tr>
      <w:tr>
        <w:tblPrEx>
          <w:tblCellMar>
            <w:top w:w="0" w:type="dxa"/>
            <w:left w:w="108" w:type="dxa"/>
            <w:bottom w:w="0" w:type="dxa"/>
            <w:right w:w="108" w:type="dxa"/>
          </w:tblCellMar>
        </w:tblPrEx>
        <w:trPr>
          <w:trHeight w:val="397" w:hRule="atLeast"/>
        </w:trPr>
        <w:tc>
          <w:tcPr>
            <w:tcW w:w="2328"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Ханты-мансийский автономный округ</w:t>
            </w:r>
            <w:r>
              <w:rPr>
                <w:rFonts w:ascii="Times New Roman" w:hAnsi="Times New Roman" w:eastAsia="Times New Roman" w:cs="Times New Roman"/>
                <w:color w:val="000000"/>
                <w:sz w:val="24"/>
                <w:szCs w:val="24"/>
                <w:lang w:eastAsia="zh-CN"/>
              </w:rPr>
              <w:t xml:space="preserve"> </w:t>
            </w:r>
          </w:p>
        </w:tc>
        <w:tc>
          <w:tcPr>
            <w:tcW w:w="3522"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Адаптированы все элементы туристкой инфраструктуры почти на 5% </w:t>
            </w:r>
          </w:p>
        </w:tc>
        <w:tc>
          <w:tcPr>
            <w:tcW w:w="3784"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Культурно-познавательный,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 xml:space="preserve">экологический, лыжный </w:t>
            </w:r>
          </w:p>
        </w:tc>
      </w:tr>
      <w:tr>
        <w:trPr>
          <w:trHeight w:val="397" w:hRule="atLeast"/>
        </w:trPr>
        <w:tc>
          <w:tcPr>
            <w:tcW w:w="2328"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Сочи</w:t>
            </w:r>
            <w:r>
              <w:rPr>
                <w:rFonts w:ascii="Times New Roman" w:hAnsi="Times New Roman" w:eastAsia="Times New Roman" w:cs="Times New Roman"/>
                <w:color w:val="000000"/>
                <w:sz w:val="24"/>
                <w:szCs w:val="24"/>
                <w:lang w:eastAsia="zh-CN"/>
              </w:rPr>
              <w:t xml:space="preserve"> </w:t>
            </w:r>
          </w:p>
        </w:tc>
        <w:tc>
          <w:tcPr>
            <w:tcW w:w="3522"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Создана безбарьерная среда с адаптацией всех элементов туристкой инфраструктуры почти на 60% </w:t>
            </w:r>
          </w:p>
        </w:tc>
        <w:tc>
          <w:tcPr>
            <w:tcW w:w="3784"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Культурно-познавательный,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 xml:space="preserve">лечебно-оздоровительный,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 xml:space="preserve">интеллектуальный, </w:t>
            </w:r>
          </w:p>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Параолимпийский комитет </w:t>
            </w:r>
          </w:p>
        </w:tc>
      </w:tr>
      <w:tr>
        <w:tblPrEx>
          <w:tblCellMar>
            <w:top w:w="0" w:type="dxa"/>
            <w:left w:w="108" w:type="dxa"/>
            <w:bottom w:w="0" w:type="dxa"/>
            <w:right w:w="108" w:type="dxa"/>
          </w:tblCellMar>
        </w:tblPrEx>
        <w:trPr>
          <w:trHeight w:val="397" w:hRule="atLeast"/>
        </w:trPr>
        <w:tc>
          <w:tcPr>
            <w:tcW w:w="2328"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bCs/>
                <w:color w:val="000000"/>
                <w:sz w:val="24"/>
                <w:szCs w:val="24"/>
                <w:lang w:eastAsia="zh-CN"/>
              </w:rPr>
              <w:t>Владивосток</w:t>
            </w:r>
          </w:p>
        </w:tc>
        <w:tc>
          <w:tcPr>
            <w:tcW w:w="3522"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Безбарьерная среда находится на первоначальной стадии развития </w:t>
            </w:r>
          </w:p>
        </w:tc>
        <w:tc>
          <w:tcPr>
            <w:tcW w:w="3784" w:type="dxa"/>
            <w:tcBorders>
              <w:top w:val="single" w:color="000000" w:sz="4" w:space="0"/>
              <w:left w:val="single" w:color="000000" w:sz="4" w:space="0"/>
              <w:bottom w:val="single" w:color="000000" w:sz="4" w:space="0"/>
              <w:right w:val="single" w:color="000000" w:sz="4" w:space="0"/>
            </w:tcBorders>
            <w:vAlign w:val="center"/>
          </w:tcPr>
          <w:p>
            <w:pPr>
              <w:snapToGrid w:val="0"/>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Культурно-познавательный</w:t>
            </w:r>
          </w:p>
        </w:tc>
      </w:tr>
    </w:tbl>
    <w:p>
      <w:pPr>
        <w:snapToGrid w:val="0"/>
        <w:spacing w:after="0" w:line="240" w:lineRule="auto"/>
        <w:ind w:firstLine="709"/>
        <w:jc w:val="both"/>
        <w:rPr>
          <w:rFonts w:ascii="Times New Roman" w:hAnsi="Times New Roman" w:eastAsia="Times New Roman" w:cs="Times New Roman"/>
          <w:color w:val="000000"/>
          <w:sz w:val="24"/>
          <w:szCs w:val="24"/>
          <w:lang w:eastAsia="zh-CN"/>
        </w:rPr>
      </w:pP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Как видно из таблицы, безбарьерная среда относительно адаптирована только в Москве, Санкт-Петербурге и Сочи. В остальных городах России, данная проблема не решена, в том числе во Владивостоке. В связи с этим, появилась необходимость рассмотреть доступность ведущих отелей города для лиц с ОВЗ.</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Согласно статистике исследуемого гостиничного комплекса, в 2019 году отель посетили 34 инклюзивных туриста. Данные о низком количестве гостей с ОВЗ говорят о том, что из-за неадаптированной безбарьерной среды, туристам просто неудобно путешествовать по Владивостоку.</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Для выявления конкурентоспособности ГК «Азимут Отель-Владивосток» был проведен анализ средств размещения в городе Владивосток. Были выбраны </w:t>
      </w:r>
      <w:commentRangeStart w:id="0"/>
      <w:r>
        <w:rPr>
          <w:rFonts w:ascii="Times New Roman" w:hAnsi="Times New Roman" w:eastAsia="Times New Roman" w:cs="Times New Roman"/>
          <w:color w:val="000000"/>
          <w:sz w:val="24"/>
          <w:szCs w:val="24"/>
          <w:lang w:eastAsia="zh-CN"/>
        </w:rPr>
        <w:t>2 основных конкурент</w:t>
      </w:r>
      <w:commentRangeEnd w:id="0"/>
      <w:r>
        <w:rPr>
          <w:rFonts w:eastAsiaTheme="minorEastAsia"/>
          <w:lang w:eastAsia="zh-CN"/>
        </w:rPr>
        <w:commentReference w:id="0"/>
      </w:r>
      <w:r>
        <w:rPr>
          <w:rFonts w:ascii="Times New Roman" w:hAnsi="Times New Roman" w:eastAsia="Times New Roman" w:cs="Times New Roman"/>
          <w:color w:val="000000"/>
          <w:sz w:val="24"/>
          <w:szCs w:val="24"/>
          <w:lang w:eastAsia="zh-CN"/>
        </w:rPr>
        <w:t>а в центре города, такие как отель «</w:t>
      </w:r>
      <w:r>
        <w:rPr>
          <w:rFonts w:ascii="Times New Roman" w:hAnsi="Times New Roman" w:eastAsia="Times New Roman" w:cs="Times New Roman"/>
          <w:color w:val="000000"/>
          <w:sz w:val="24"/>
          <w:szCs w:val="24"/>
          <w:lang w:val="en-US" w:eastAsia="zh-CN"/>
        </w:rPr>
        <w:t>Lotte</w:t>
      </w:r>
      <w:r>
        <w:rPr>
          <w:rFonts w:ascii="Times New Roman" w:hAnsi="Times New Roman" w:eastAsia="Times New Roman" w:cs="Times New Roman"/>
          <w:color w:val="000000"/>
          <w:sz w:val="24"/>
          <w:szCs w:val="24"/>
          <w:lang w:eastAsia="zh-CN"/>
        </w:rPr>
        <w:t>» и отель «</w:t>
      </w:r>
      <w:r>
        <w:rPr>
          <w:rFonts w:ascii="Times New Roman" w:hAnsi="Times New Roman" w:eastAsia="Times New Roman" w:cs="Times New Roman"/>
          <w:color w:val="000000"/>
          <w:sz w:val="24"/>
          <w:szCs w:val="24"/>
          <w:lang w:val="en-US" w:eastAsia="zh-CN"/>
        </w:rPr>
        <w:t>Astoria</w:t>
      </w:r>
      <w:r>
        <w:rPr>
          <w:rFonts w:ascii="Times New Roman" w:hAnsi="Times New Roman" w:eastAsia="Times New Roman" w:cs="Times New Roman"/>
          <w:color w:val="000000"/>
          <w:sz w:val="24"/>
          <w:szCs w:val="24"/>
          <w:lang w:eastAsia="zh-CN"/>
        </w:rPr>
        <w:t>». Данный выбор обусловлен рядом факторов:</w:t>
      </w:r>
    </w:p>
    <w:p>
      <w:pPr>
        <w:numPr>
          <w:ilvl w:val="0"/>
          <w:numId w:val="1"/>
        </w:numPr>
        <w:tabs>
          <w:tab w:val="left" w:pos="993"/>
        </w:tabs>
        <w:adjustRightInd w:val="0"/>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Данные отели являются частью международной сети.</w:t>
      </w:r>
    </w:p>
    <w:p>
      <w:pPr>
        <w:numPr>
          <w:ilvl w:val="0"/>
          <w:numId w:val="1"/>
        </w:numPr>
        <w:tabs>
          <w:tab w:val="left" w:pos="993"/>
        </w:tabs>
        <w:adjustRightInd w:val="0"/>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Цены на номера данных отелей относительно схожи.</w:t>
      </w:r>
    </w:p>
    <w:p>
      <w:pPr>
        <w:numPr>
          <w:ilvl w:val="0"/>
          <w:numId w:val="1"/>
        </w:numPr>
        <w:tabs>
          <w:tab w:val="left" w:pos="993"/>
        </w:tabs>
        <w:adjustRightInd w:val="0"/>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Выбранные отели имеют удобное месторасположение.</w:t>
      </w:r>
    </w:p>
    <w:p>
      <w:pPr>
        <w:numPr>
          <w:ilvl w:val="0"/>
          <w:numId w:val="1"/>
        </w:numPr>
        <w:tabs>
          <w:tab w:val="left" w:pos="993"/>
        </w:tabs>
        <w:adjustRightInd w:val="0"/>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Общий рейтинг отелей на сайте </w:t>
      </w:r>
      <w:r>
        <w:rPr>
          <w:rFonts w:ascii="Times New Roman" w:hAnsi="Times New Roman" w:eastAsia="Times New Roman" w:cs="Times New Roman"/>
          <w:color w:val="000000"/>
          <w:sz w:val="24"/>
          <w:szCs w:val="24"/>
          <w:lang w:val="en-US" w:eastAsia="zh-CN"/>
        </w:rPr>
        <w:t>Booking</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com</w:t>
      </w:r>
      <w:r>
        <w:rPr>
          <w:rFonts w:ascii="Times New Roman" w:hAnsi="Times New Roman" w:eastAsia="Times New Roman" w:cs="Times New Roman"/>
          <w:color w:val="000000"/>
          <w:sz w:val="24"/>
          <w:szCs w:val="24"/>
          <w:lang w:eastAsia="zh-CN"/>
        </w:rPr>
        <w:t xml:space="preserve"> практически одинаковый.</w:t>
      </w:r>
    </w:p>
    <w:p>
      <w:pPr>
        <w:spacing w:after="0" w:line="240" w:lineRule="auto"/>
        <w:ind w:right="960"/>
        <w:jc w:val="right"/>
        <w:rPr>
          <w:rFonts w:ascii="Times New Roman" w:hAnsi="Times New Roman" w:eastAsiaTheme="minorEastAsia"/>
          <w:i/>
          <w:sz w:val="24"/>
          <w:szCs w:val="24"/>
          <w:lang w:eastAsia="ru-RU"/>
        </w:rPr>
      </w:pPr>
    </w:p>
    <w:p>
      <w:pPr>
        <w:spacing w:after="0" w:line="240" w:lineRule="auto"/>
        <w:ind w:right="-1"/>
        <w:jc w:val="right"/>
        <w:rPr>
          <w:rFonts w:ascii="Times New Roman" w:hAnsi="Times New Roman" w:eastAsiaTheme="minorEastAsia"/>
          <w:sz w:val="24"/>
          <w:szCs w:val="24"/>
          <w:lang w:eastAsia="ru-RU"/>
        </w:rPr>
      </w:pPr>
      <w:r>
        <w:rPr>
          <w:rFonts w:ascii="Times New Roman" w:hAnsi="Times New Roman" w:eastAsiaTheme="minorEastAsia"/>
          <w:i/>
          <w:sz w:val="24"/>
          <w:szCs w:val="24"/>
          <w:lang w:eastAsia="ru-RU"/>
        </w:rPr>
        <w:t>Таблица 3</w:t>
      </w:r>
    </w:p>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Основная характеристика средств размещения</w:t>
      </w:r>
    </w:p>
    <w:tbl>
      <w:tblPr>
        <w:tblStyle w:val="3"/>
        <w:tblW w:w="9298" w:type="dxa"/>
        <w:tblInd w:w="0" w:type="dxa"/>
        <w:tblLayout w:type="autofit"/>
        <w:tblCellMar>
          <w:top w:w="15" w:type="dxa"/>
          <w:left w:w="15" w:type="dxa"/>
          <w:bottom w:w="15" w:type="dxa"/>
          <w:right w:w="15" w:type="dxa"/>
        </w:tblCellMar>
      </w:tblPr>
      <w:tblGrid>
        <w:gridCol w:w="3963"/>
        <w:gridCol w:w="1702"/>
        <w:gridCol w:w="1843"/>
        <w:gridCol w:w="1790"/>
      </w:tblGrid>
      <w:tr>
        <w:trPr>
          <w:trHeight w:val="181"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ind w:right="480"/>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Определяющий фактор</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ind w:right="480"/>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«Astoria»</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ind w:right="480"/>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«Azimut»</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ind w:right="480"/>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«Lotte»</w:t>
            </w:r>
          </w:p>
        </w:tc>
      </w:tr>
      <w:tr>
        <w:trPr>
          <w:trHeight w:val="55"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Количество номеров, шт.</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103</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378</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153</w:t>
            </w:r>
          </w:p>
        </w:tc>
      </w:tr>
      <w:tr>
        <w:trPr>
          <w:trHeight w:val="261"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Площадь стандартного номера</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20 кв.м</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18 кв.м</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24 кв.м</w:t>
            </w:r>
          </w:p>
        </w:tc>
      </w:tr>
      <w:tr>
        <w:trPr>
          <w:trHeight w:val="226"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Близость к морю</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30 мин.</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10 мин.</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20 мин.</w:t>
            </w:r>
          </w:p>
        </w:tc>
      </w:tr>
      <w:tr>
        <w:trPr>
          <w:trHeight w:val="55"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Близость к аэропорту</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50 мин.</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50 мин.</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50 мин.</w:t>
            </w:r>
          </w:p>
        </w:tc>
      </w:tr>
      <w:tr>
        <w:trPr>
          <w:trHeight w:val="161"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Близость к центру города</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20 мин.</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15 мин.</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10 мин.</w:t>
            </w:r>
          </w:p>
        </w:tc>
      </w:tr>
      <w:tr>
        <w:trPr>
          <w:trHeight w:val="87"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Выход в интернет</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Wi-Fi</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Wi-Fi</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Wi-Fi</w:t>
            </w:r>
          </w:p>
        </w:tc>
      </w:tr>
      <w:tr>
        <w:trPr>
          <w:trHeight w:val="87" w:hRule="atLeast"/>
        </w:trPr>
        <w:tc>
          <w:tcPr>
            <w:tcW w:w="3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Полная доступность для лиц с ОВЗ</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w:t>
            </w:r>
          </w:p>
        </w:tc>
        <w:tc>
          <w:tcPr>
            <w:tcW w:w="1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w:t>
            </w:r>
          </w:p>
        </w:tc>
        <w:tc>
          <w:tcPr>
            <w:tcW w:w="17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napToGrid w:val="0"/>
              <w:spacing w:after="0" w:line="240" w:lineRule="auto"/>
              <w:jc w:val="center"/>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w:t>
            </w:r>
          </w:p>
        </w:tc>
      </w:tr>
    </w:tbl>
    <w:p>
      <w:pPr>
        <w:snapToGrid w:val="0"/>
        <w:spacing w:after="0" w:line="240" w:lineRule="auto"/>
        <w:ind w:firstLine="708"/>
        <w:jc w:val="both"/>
        <w:rPr>
          <w:rFonts w:ascii="Times New Roman" w:hAnsi="Times New Roman" w:eastAsia="Times New Roman" w:cs="Times New Roman"/>
          <w:color w:val="000000"/>
          <w:sz w:val="24"/>
          <w:szCs w:val="24"/>
          <w:lang w:eastAsia="zh-CN"/>
        </w:rPr>
      </w:pPr>
    </w:p>
    <w:p>
      <w:pPr>
        <w:snapToGrid w:val="0"/>
        <w:spacing w:after="0" w:line="240" w:lineRule="auto"/>
        <w:ind w:firstLine="708"/>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Проанализировав данные из таблицы 3, было определено, что ГК «Азимут Отель-Владивосток» не уступает в данных показателях своим основным конкурентам. К слабым факторам относится только площадь стандартного номера, она меньше, чем у основных конкурентов. </w:t>
      </w:r>
    </w:p>
    <w:p>
      <w:pPr>
        <w:snapToGrid w:val="0"/>
        <w:spacing w:after="0" w:line="240" w:lineRule="auto"/>
        <w:ind w:firstLine="708"/>
        <w:jc w:val="both"/>
        <w:rPr>
          <w:rFonts w:eastAsiaTheme="minorEastAsia"/>
          <w:lang w:eastAsia="zh-CN"/>
        </w:rPr>
      </w:pPr>
      <w:r>
        <w:rPr>
          <w:rFonts w:ascii="Times New Roman" w:hAnsi="Times New Roman" w:eastAsia="Times New Roman" w:cs="Times New Roman"/>
          <w:color w:val="000000"/>
          <w:sz w:val="24"/>
          <w:szCs w:val="24"/>
          <w:lang w:eastAsia="zh-CN"/>
        </w:rPr>
        <w:t xml:space="preserve">Также, входе анализа средств размещения в городе Владивосток, было выявлено, что в городе нет ни одной гостиницы, которая могла бы предоставить комфортное размещение для лиц с ограниченными возможностями здоровья. По крайней мере, никакой информации на официальных сайтах отеля по этому поводу нет. Считаем, что это минус, так как большинство туристов, включая инклюзивных, бронирует номера на сайтах посредниках </w:t>
      </w:r>
      <w:r>
        <w:rPr>
          <w:rFonts w:ascii="Times New Roman" w:hAnsi="Times New Roman" w:cs="Times New Roman" w:eastAsiaTheme="minorEastAsia"/>
          <w:color w:val="000000"/>
          <w:sz w:val="24"/>
          <w:szCs w:val="24"/>
          <w:lang w:eastAsia="zh-CN"/>
        </w:rPr>
        <w:t>(Booking.</w:t>
      </w:r>
      <w:r>
        <w:rPr>
          <w:rFonts w:ascii="Times New Roman" w:hAnsi="Times New Roman" w:cs="Times New Roman" w:eastAsiaTheme="minorEastAsia"/>
          <w:color w:val="000000"/>
          <w:sz w:val="24"/>
          <w:szCs w:val="24"/>
          <w:lang w:val="en-US" w:eastAsia="zh-CN"/>
        </w:rPr>
        <w:t>com</w:t>
      </w:r>
      <w:r>
        <w:rPr>
          <w:rFonts w:ascii="Times New Roman" w:hAnsi="Times New Roman" w:cs="Times New Roman" w:eastAsiaTheme="minorEastAsia"/>
          <w:color w:val="000000"/>
          <w:sz w:val="24"/>
          <w:szCs w:val="24"/>
          <w:lang w:eastAsia="zh-CN"/>
        </w:rPr>
        <w:t>) или на официальных сайтах отелей, но никакой информации о доступности отеля для лиц с ОВЗ нет ни на официальном сайте, ни на Booking.</w:t>
      </w:r>
      <w:r>
        <w:rPr>
          <w:rFonts w:ascii="Times New Roman" w:hAnsi="Times New Roman" w:cs="Times New Roman" w:eastAsiaTheme="minorEastAsia"/>
          <w:color w:val="000000"/>
          <w:sz w:val="24"/>
          <w:szCs w:val="24"/>
          <w:lang w:val="en-US" w:eastAsia="zh-CN"/>
        </w:rPr>
        <w:t>com</w:t>
      </w:r>
      <w:r>
        <w:rPr>
          <w:rFonts w:ascii="Times New Roman" w:hAnsi="Times New Roman" w:cs="Times New Roman" w:eastAsiaTheme="minorEastAsia"/>
          <w:color w:val="000000"/>
          <w:sz w:val="24"/>
          <w:szCs w:val="24"/>
          <w:lang w:eastAsia="zh-CN"/>
        </w:rPr>
        <w:t>.</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 xml:space="preserve">ГК «Азимут Отель-Владивосток» - это один из самых вместительных отелей нашего города, номерной фонд которого состоит из 378 номеров. В соответствии с </w:t>
      </w:r>
      <w:r>
        <w:rPr>
          <w:rFonts w:ascii="Times New Roman" w:hAnsi="Times New Roman" w:eastAsia="Times New Roman" w:cs="Times New Roman"/>
          <w:color w:val="2D2D2D"/>
          <w:sz w:val="24"/>
          <w:szCs w:val="24"/>
          <w:lang w:eastAsia="zh-CN"/>
        </w:rPr>
        <w:t xml:space="preserve">СП </w:t>
      </w:r>
      <w:r>
        <w:rPr>
          <w:rFonts w:ascii="Times New Roman" w:hAnsi="Times New Roman" w:eastAsia="Times New Roman" w:cs="Times New Roman"/>
          <w:color w:val="000000"/>
          <w:sz w:val="24"/>
          <w:szCs w:val="24"/>
          <w:lang w:eastAsia="zh-CN"/>
        </w:rPr>
        <w:t>59.13330.2016 Доступность зданий и сооружений для маломобильных групп населения, в местах временного проживания людей (гостиницы, отели) с количеством номеров более 20, 5% номеров должно быть адаптировано для людей с ограниченными возможностями. В ГК «Азимут Отель-Владивосток» нет номеров, спроектированных для инклюзивных туристов. Причиной тому - нерентабельность. Отель всегда имеет хорошую загрузку в среднем 70%, если даже 18 номеров из 378 будут спроектированы только для лиц с ОВЗ, то это приведет к простою номеров. Руководство отеля на это не пойдет. </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Согласно статистике отеля в 2019 году ГК «Азимут Отель-Владивосток» посетили 34 инклюзивных туриста. Отдел по рекламе и маркетингу отеля, предоставил для исследования 29 анкет-опросников, которые были собраны за 2019 год.</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Результаты анкетирования представлены на рисунке 3.</w:t>
      </w:r>
    </w:p>
    <w:p>
      <w:pPr>
        <w:spacing w:after="0" w:line="240" w:lineRule="auto"/>
        <w:jc w:val="center"/>
        <w:rPr>
          <w:rFonts w:ascii="Times New Roman" w:hAnsi="Times New Roman" w:eastAsia="Times New Roman" w:cs="Times New Roman"/>
          <w:sz w:val="24"/>
          <w:szCs w:val="24"/>
          <w:lang w:eastAsia="zh-CN"/>
        </w:rPr>
      </w:pPr>
      <w:r>
        <w:rPr>
          <w:rFonts w:eastAsiaTheme="minorEastAsia"/>
          <w:lang w:eastAsia="zh-CN"/>
        </w:rPr>
        <w:drawing>
          <wp:inline distT="0" distB="0" distL="0" distR="0">
            <wp:extent cx="3756025" cy="2196465"/>
            <wp:effectExtent l="0" t="0" r="0" b="0"/>
            <wp:docPr id="3" name="Рисунок 1" descr="https://lh3.googleusercontent.com/2ZZUcsotKLg3o2Va63A8D6_0mjt9SRD2cp6Mk8dsyfMjLUjLybIALxQdwcArFLEhSZiTpvkMvl9xebpTBkMpPNqJQWWhd3owNHF0iKv6ZNHQ-ye7BJEkKt2hUa2cniQWAnwh3jtS"/>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Рисунок 1" descr="https://lh3.googleusercontent.com/2ZZUcsotKLg3o2Va63A8D6_0mjt9SRD2cp6Mk8dsyfMjLUjLybIALxQdwcArFLEhSZiTpvkMvl9xebpTBkMpPNqJQWWhd3owNHF0iKv6ZNHQ-ye7BJEkKt2hUa2cniQWAnwh3jtS"/>
                    <pic:cNvPicPr>
                      <a:picLocks noChangeAspect="true" noChangeArrowheads="true"/>
                    </pic:cNvPicPr>
                  </pic:nvPicPr>
                  <pic:blipFill>
                    <a:blip r:embed="rId10"/>
                    <a:stretch>
                      <a:fillRect/>
                    </a:stretch>
                  </pic:blipFill>
                  <pic:spPr>
                    <a:xfrm>
                      <a:off x="0" y="0"/>
                      <a:ext cx="3756025" cy="2196465"/>
                    </a:xfrm>
                    <a:prstGeom prst="rect">
                      <a:avLst/>
                    </a:prstGeom>
                  </pic:spPr>
                </pic:pic>
              </a:graphicData>
            </a:graphic>
          </wp:inline>
        </w:drawing>
      </w:r>
    </w:p>
    <w:p>
      <w:pPr>
        <w:spacing w:after="0" w:line="240" w:lineRule="auto"/>
        <w:jc w:val="center"/>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Рис. 3. Результаты анкетирования лиц с ОВЗ</w:t>
      </w:r>
    </w:p>
    <w:p>
      <w:pPr>
        <w:spacing w:after="0" w:line="240" w:lineRule="auto"/>
        <w:jc w:val="both"/>
        <w:rPr>
          <w:rFonts w:ascii="Times New Roman" w:hAnsi="Times New Roman" w:eastAsia="Times New Roman" w:cs="Times New Roman"/>
          <w:color w:val="000000"/>
          <w:sz w:val="24"/>
          <w:szCs w:val="24"/>
          <w:lang w:eastAsia="zh-CN"/>
        </w:rPr>
      </w:pP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Согласно приведенным данным,</w:t>
      </w:r>
    </w:p>
    <w:p>
      <w:pPr>
        <w:numPr>
          <w:ilvl w:val="0"/>
          <w:numId w:val="2"/>
        </w:numPr>
        <w:tabs>
          <w:tab w:val="left" w:pos="851"/>
        </w:tabs>
        <w:snapToGrid w:val="0"/>
        <w:spacing w:after="0" w:line="240" w:lineRule="auto"/>
        <w:ind w:left="0"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60% респондентов отметили отличный уровень предоставления дополнительных услуг в ГК лицам с ОВЗ.</w:t>
      </w:r>
    </w:p>
    <w:p>
      <w:pPr>
        <w:numPr>
          <w:ilvl w:val="0"/>
          <w:numId w:val="2"/>
        </w:numPr>
        <w:tabs>
          <w:tab w:val="left" w:pos="851"/>
        </w:tabs>
        <w:snapToGrid w:val="0"/>
        <w:spacing w:after="0" w:line="240" w:lineRule="auto"/>
        <w:ind w:left="0"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80% респондентов оценили на отлично качество уборки номеров.</w:t>
      </w:r>
    </w:p>
    <w:p>
      <w:pPr>
        <w:numPr>
          <w:ilvl w:val="0"/>
          <w:numId w:val="2"/>
        </w:numPr>
        <w:tabs>
          <w:tab w:val="left" w:pos="851"/>
        </w:tabs>
        <w:snapToGrid w:val="0"/>
        <w:spacing w:after="0" w:line="240" w:lineRule="auto"/>
        <w:ind w:left="0"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55% респондентов считают, что уровень обслуживания персоналом лиц с ОВЗ находится на среднем уровне</w:t>
      </w:r>
    </w:p>
    <w:p>
      <w:pPr>
        <w:numPr>
          <w:ilvl w:val="0"/>
          <w:numId w:val="2"/>
        </w:numPr>
        <w:tabs>
          <w:tab w:val="left" w:pos="851"/>
        </w:tabs>
        <w:snapToGrid w:val="0"/>
        <w:spacing w:after="0" w:line="240" w:lineRule="auto"/>
        <w:ind w:left="0"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75% респондентов оценили уровень обустройства номеров для лиц с ОВЗ как удовлетворительное.</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Следовательно, существует потребность изменить систему обслуживания инклюзивных туристов в отеле. Необходимо создание безбарьерной среды, которая обозначает доступность средства размещения, доступность транспорта и информационную доступность. </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Создание безбарьерной среды для инклюзивных туристов в отеле приведет к серьезному конкурентному преимуществу благодаря:</w:t>
      </w:r>
    </w:p>
    <w:p>
      <w:pPr>
        <w:numPr>
          <w:ilvl w:val="0"/>
          <w:numId w:val="3"/>
        </w:numPr>
        <w:tabs>
          <w:tab w:val="left" w:pos="851"/>
        </w:tabs>
        <w:snapToGrid w:val="0"/>
        <w:spacing w:after="0" w:line="240" w:lineRule="auto"/>
        <w:ind w:left="0" w:firstLine="709"/>
        <w:jc w:val="both"/>
        <w:textAlignment w:val="baseline"/>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 увеличению потока туристов с ОВЗ, и как следствие к увеличению прибыли;</w:t>
      </w:r>
    </w:p>
    <w:p>
      <w:pPr>
        <w:numPr>
          <w:ilvl w:val="0"/>
          <w:numId w:val="3"/>
        </w:numPr>
        <w:tabs>
          <w:tab w:val="left" w:pos="851"/>
        </w:tabs>
        <w:snapToGrid w:val="0"/>
        <w:spacing w:after="0" w:line="240" w:lineRule="auto"/>
        <w:ind w:left="0" w:firstLine="709"/>
        <w:jc w:val="both"/>
        <w:textAlignment w:val="baseline"/>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 укреплению позиционирования отеля, с точки зрения социальной направленности, и как следствие лояльности гостей к бренду;</w:t>
      </w:r>
    </w:p>
    <w:p>
      <w:pPr>
        <w:numPr>
          <w:ilvl w:val="0"/>
          <w:numId w:val="3"/>
        </w:numPr>
        <w:tabs>
          <w:tab w:val="left" w:pos="851"/>
        </w:tabs>
        <w:snapToGrid w:val="0"/>
        <w:spacing w:after="0" w:line="240" w:lineRule="auto"/>
        <w:ind w:left="0" w:firstLine="709"/>
        <w:jc w:val="both"/>
        <w:textAlignment w:val="baseline"/>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 xml:space="preserve"> увеличению объема продаж дополнительных услуг.</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Также, это станет толчком для других отелей города активно развивать данное направление, что приведет к комфортному пребыванию лиц с ОВЗ в средствах размещения, у них появится  более широкий выбор для размещения и как следствие это приведет увеличению потока туристов в город.</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ГК «Азимут Отель-Владивосток» только частично готов к встрече и размещению инклюзивных туристов. </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p>
    <w:p>
      <w:pPr>
        <w:snapToGrid w:val="0"/>
        <w:spacing w:after="0" w:line="240" w:lineRule="auto"/>
        <w:ind w:firstLine="709"/>
        <w:jc w:val="right"/>
        <w:rPr>
          <w:rFonts w:ascii="Times New Roman" w:hAnsi="Times New Roman" w:eastAsia="Times New Roman" w:cs="Times New Roman"/>
          <w:i/>
          <w:color w:val="000000"/>
          <w:sz w:val="24"/>
          <w:szCs w:val="24"/>
          <w:lang w:eastAsia="zh-CN"/>
        </w:rPr>
      </w:pPr>
      <w:r>
        <w:rPr>
          <w:rFonts w:ascii="Times New Roman" w:hAnsi="Times New Roman" w:eastAsia="Times New Roman" w:cs="Times New Roman"/>
          <w:i/>
          <w:color w:val="000000"/>
          <w:sz w:val="24"/>
          <w:szCs w:val="24"/>
          <w:lang w:eastAsia="zh-CN"/>
        </w:rPr>
        <w:t>Таблица 4</w:t>
      </w:r>
    </w:p>
    <w:p>
      <w:pPr>
        <w:snapToGrid w:val="0"/>
        <w:spacing w:after="0" w:line="240" w:lineRule="auto"/>
        <w:ind w:firstLine="709"/>
        <w:jc w:val="center"/>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Доступность ГК «Азимут Отель-Владивосток» для лиц с ОВЗ</w:t>
      </w:r>
    </w:p>
    <w:tbl>
      <w:tblPr>
        <w:tblStyle w:val="18"/>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6"/>
        <w:gridCol w:w="4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ind w:firstLine="709"/>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Имеются</w:t>
            </w:r>
          </w:p>
        </w:tc>
        <w:tc>
          <w:tcPr>
            <w:tcW w:w="4784" w:type="dxa"/>
          </w:tcPr>
          <w:p>
            <w:pPr>
              <w:suppressAutoHyphens/>
              <w:snapToGrid w:val="0"/>
              <w:spacing w:after="0" w:line="240" w:lineRule="auto"/>
              <w:ind w:firstLine="709"/>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Отсутствуют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Парковочные места для лиц с ОВЗ</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Тактильные предупредительные вставки, шрифты Брайля для незрячих туристов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Пандусы</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 xml:space="preserve">Заниженная стойка регистрации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Поручни</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Специально оборудованные объекты розничной торговли и продажи продуктов питания и напитков, стойки обслуживания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Зоны ожидания и очереди</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Пункты первой помощи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Места для сиденья в ресторанах и других зонах питания</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Доступные номера для лиц с ОВЗ</w:t>
            </w:r>
          </w:p>
        </w:tc>
      </w:tr>
    </w:tbl>
    <w:p>
      <w:pPr>
        <w:rPr>
          <w:rFonts w:eastAsiaTheme="minorEastAsia"/>
          <w:lang w:eastAsia="zh-CN"/>
        </w:rPr>
      </w:pPr>
    </w:p>
    <w:p>
      <w:pPr>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Продолжение таблицы 4</w:t>
      </w:r>
    </w:p>
    <w:tbl>
      <w:tblPr>
        <w:tblStyle w:val="18"/>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6"/>
        <w:gridCol w:w="4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Доступные габариты входа</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Теоретические знания и практические навыки у персонала гостиницы при обслуживании гостей с ОВЗ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 xml:space="preserve">Доступная кабина лифта со звуковым </w:t>
            </w:r>
            <w:r>
              <w:rPr>
                <w:rFonts w:ascii="Times New Roman" w:hAnsi="Times New Roman" w:eastAsia="Times New Roman" w:cs="Times New Roman"/>
                <w:bCs/>
                <w:color w:val="000000"/>
                <w:sz w:val="24"/>
                <w:szCs w:val="24"/>
                <w:lang w:eastAsia="zh-CN"/>
              </w:rPr>
              <w:br w:type="textWrapping"/>
            </w:r>
            <w:r>
              <w:rPr>
                <w:rFonts w:ascii="Times New Roman" w:hAnsi="Times New Roman" w:eastAsia="Times New Roman" w:cs="Times New Roman"/>
                <w:bCs/>
                <w:color w:val="000000"/>
                <w:sz w:val="24"/>
                <w:szCs w:val="24"/>
                <w:lang w:eastAsia="zh-CN"/>
              </w:rPr>
              <w:t>сопровождением</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Информированность о туристских услугах, предоставляемых в городе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bCs/>
                <w:color w:val="000000"/>
                <w:sz w:val="24"/>
                <w:szCs w:val="24"/>
                <w:lang w:eastAsia="zh-CN"/>
              </w:rPr>
              <w:t>Информационные указатели для слабовидящих туристов</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r>
              <w:rPr>
                <w:rFonts w:ascii="Times New Roman" w:hAnsi="Times New Roman" w:eastAsia="Times New Roman" w:cs="Times New Roman"/>
                <w:color w:val="000000"/>
                <w:sz w:val="24"/>
                <w:szCs w:val="24"/>
                <w:lang w:eastAsia="zh-CN"/>
              </w:rPr>
              <w:t>Информированность о транспортных компаниях, предоставляемых услуги по перевозке лиц с ограниченными возможностями передвижения.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5" w:type="dxa"/>
          </w:tcPr>
          <w:p>
            <w:pPr>
              <w:suppressAutoHyphens/>
              <w:snapToGrid w:val="0"/>
              <w:spacing w:after="0" w:line="240" w:lineRule="auto"/>
              <w:jc w:val="both"/>
              <w:rPr>
                <w:rFonts w:ascii="Times New Roman" w:hAnsi="Times New Roman" w:eastAsia="Times New Roman"/>
                <w:bCs/>
                <w:color w:val="000000"/>
                <w:sz w:val="24"/>
                <w:szCs w:val="24"/>
                <w:lang w:eastAsia="zh-CN"/>
              </w:rPr>
            </w:pPr>
            <w:r>
              <w:rPr>
                <w:rFonts w:ascii="Times New Roman" w:hAnsi="Times New Roman" w:eastAsia="Times New Roman" w:cs="Times New Roman"/>
                <w:bCs/>
                <w:color w:val="000000"/>
                <w:sz w:val="24"/>
                <w:szCs w:val="24"/>
                <w:lang w:eastAsia="zh-CN"/>
              </w:rPr>
              <w:t>Инвалидное кресло для передвижения лиц с ОВЗ</w:t>
            </w:r>
          </w:p>
        </w:tc>
        <w:tc>
          <w:tcPr>
            <w:tcW w:w="4784" w:type="dxa"/>
          </w:tcPr>
          <w:p>
            <w:pPr>
              <w:suppressAutoHyphens/>
              <w:snapToGrid w:val="0"/>
              <w:spacing w:after="0" w:line="240" w:lineRule="auto"/>
              <w:jc w:val="both"/>
              <w:rPr>
                <w:rFonts w:ascii="Times New Roman" w:hAnsi="Times New Roman" w:eastAsia="Times New Roman"/>
                <w:color w:val="000000"/>
                <w:sz w:val="24"/>
                <w:szCs w:val="24"/>
                <w:lang w:eastAsia="zh-CN"/>
              </w:rPr>
            </w:pPr>
          </w:p>
        </w:tc>
      </w:tr>
    </w:tbl>
    <w:p>
      <w:pPr>
        <w:snapToGrid w:val="0"/>
        <w:spacing w:after="0" w:line="240" w:lineRule="auto"/>
        <w:ind w:firstLine="709"/>
        <w:jc w:val="both"/>
        <w:rPr>
          <w:rFonts w:ascii="Times New Roman" w:hAnsi="Times New Roman" w:eastAsia="Times New Roman" w:cs="Times New Roman"/>
          <w:color w:val="000000"/>
          <w:sz w:val="24"/>
          <w:szCs w:val="24"/>
          <w:lang w:eastAsia="zh-CN"/>
        </w:rPr>
      </w:pP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В ближайшее время, оборудовать даже 2% номеров для гостей с ОВЗ, не представляется возможным, так как это сетевой отель и такие процессы как презентация идеи, утверждение технического задания, представление руководству бюджета, необходимого для разработок, переговоры со строительными компаниями, работающими в данной сфере, согласуются не быстро.</w:t>
      </w:r>
    </w:p>
    <w:p>
      <w:pPr>
        <w:snapToGrid w:val="0"/>
        <w:spacing w:after="0" w:line="240" w:lineRule="auto"/>
        <w:ind w:firstLine="709"/>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Но все же, есть возможность уже сейчас сделать пребывание гостей с ОВЗ более комфортным, за счет расширенных дополнительных услуг, которые может предоставить отель. </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В ходе анализа нормативных актов по доступности средств размещения для лиц с ОВЗ, а также после анализа анкетирования лиц с ОВЗ, проживающих в ГК «Азимут Отель-Владивосток», были разработаны следующие предложения по улучшению обслуживания инклюзивных туристов в в ГК «Азимут Отель-Владивосток».</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Во-первых, следует обеспечить комфортную доставку гостя в отель.</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 xml:space="preserve">Особенно, это касается тех гостей, которые передвигаются в инвалидном кресле и не могут даже сидеть. В таком случае, при заказе трансфера для гостя, сотрудник отеля может обратиться по </w:t>
      </w:r>
      <w:r>
        <w:rPr>
          <w:rFonts w:ascii="Times New Roman" w:hAnsi="Times New Roman" w:eastAsia="Times New Roman" w:cs="Times New Roman"/>
          <w:color w:val="000000"/>
          <w:sz w:val="24"/>
          <w:szCs w:val="24"/>
          <w:shd w:val="clear" w:color="auto" w:fill="FFFFFF"/>
          <w:lang w:eastAsia="zh-CN"/>
        </w:rPr>
        <w:t>телефону через Приморский центр социального обслуживания населения для заказа социального такси для гостя с ОВЗ. Но также, гостю будет необходимо предоставить документальное подтверждение (справку) о своей группе инвалидности.</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shd w:val="clear" w:color="auto" w:fill="FFFFFF"/>
          <w:lang w:eastAsia="zh-CN"/>
        </w:rPr>
        <w:t>В случае, если заказ социального такси в данный момент невозможен по неким причинам, сотрудник отеля может обратиться в компани</w:t>
      </w:r>
      <w:r>
        <w:rPr>
          <w:rFonts w:ascii="Times New Roman" w:hAnsi="Times New Roman" w:cs="Times New Roman" w:eastAsiaTheme="minorEastAsia"/>
          <w:color w:val="000000"/>
          <w:sz w:val="24"/>
          <w:szCs w:val="24"/>
          <w:shd w:val="clear" w:color="auto" w:fill="FFFFFF"/>
          <w:lang w:eastAsia="zh-CN"/>
        </w:rPr>
        <w:t xml:space="preserve">ю, </w:t>
      </w:r>
      <w:r>
        <w:rPr>
          <w:rFonts w:ascii="Times New Roman" w:hAnsi="Times New Roman" w:eastAsia="Times New Roman" w:cs="Times New Roman"/>
          <w:color w:val="000000"/>
          <w:sz w:val="24"/>
          <w:szCs w:val="24"/>
          <w:shd w:val="clear" w:color="auto" w:fill="FFFFFF"/>
          <w:lang w:eastAsia="zh-CN"/>
        </w:rPr>
        <w:t xml:space="preserve">которая предоставляет подобные перевозки. Эта услуга будет для гостя платной. Предполагается, что и </w:t>
      </w:r>
      <w:r>
        <w:rPr>
          <w:rFonts w:ascii="Times New Roman" w:hAnsi="Times New Roman" w:eastAsia="Times New Roman" w:cs="Times New Roman"/>
          <w:color w:val="000000"/>
          <w:sz w:val="24"/>
          <w:szCs w:val="24"/>
          <w:lang w:eastAsia="zh-CN"/>
        </w:rPr>
        <w:t>ГК «Азимут Отель-Владивосток» заключают договор об оказании услуг компанией, занимающейся подобными перевозками.</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Если гость в состоянии сидеть в автомобиле, отель может предложить туристу услуги транспортной компании с которой сотрудничает. У данной транспортной компании большой таксопарк и много комфортабельных, новых минивэнов с вместительным багажником, а водитель поможет гостю с ОВЗ комфортно расположиться.</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Также предлагаем, сотрудничество туристическим компаниям и экскурсионным бюро. Отель предлагает данным компаниям бесплатную рекламу в отеле (в виде размещения своих брошюр в лобби), а они в свою очередь делают скидку 20% на стоимость экскурсии или тура по городу для гостей отеля с ограниченными возможностями здоровья. Из этого следует, что отель содействует компаниям в поиске клиентов. Туристические фирмы и экскурсионные бюро, в свою очередь, разрабатывают качественные и удобные туры по Владивостоку для инклюзивных туристов. Речь идет о разработке специального пакета услуг для подобных категорий гостей. То есть программы для слабовидящих, незрячих, маломобильных категорий граждан и так далее. </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Работа с инклюзивными туристами должна быть отлажена еще с момента бронирования номера. Сотрудники отдела бронирования должны быть обучены и знать какие вопросы нужно задать подобному туристу, и что необходимо выяснить. При бронировании, маломобильному туристу необходимо предложить номер категории люкс, как самый комфортный для проживания за счет площади 36кв.м, а также сделать пометку для отдела приема и размещения, что это маломобильный турист и нужно присвоить ему номер, который ближе к лифту. Также следует уточнить, потребуется ли трансфер, если да, то предложить варианты описанные выше. Уточнить, с какой целью планируется поездка во Владивосток, может быть это отдых или лечение. Предложить наши пакеты услуг для лиц с ОВЗ, чтобы в случае заказа гостем данного пакета услуг туристическая фирма была вовремя уведомлена. </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Очень важный момент - это обучение сотрудников отеля работе с инклюзивными туристами. Здесь важно показать свой профессионализм и осведомленность, также следует быть внимательным к гостю, но не переходить черту, так как излишнее внимание порой обижает гостей с ОВЗ. Рекомендуем приглашать в отель ведущих специалистов для проведения тренингов на эту тему.</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В отеле на данный момент всего одно инвалидное кресло. Рекомендуем закупить еще одно.</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Отель следует оборудовать опознавательными и тактильными знаками (шрифты Брайля) для перемещения незрячих гостей.</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Рекомендуется установить кнопку вызова сотрудника на входе в отель для помощи сопровождения к стойке размещения, так как у гостя могут возникнуть сложности.</w:t>
      </w:r>
    </w:p>
    <w:p>
      <w:pPr>
        <w:snapToGrid w:val="0"/>
        <w:spacing w:after="0" w:line="240" w:lineRule="auto"/>
        <w:ind w:firstLine="709"/>
        <w:jc w:val="both"/>
        <w:rPr>
          <w:rFonts w:ascii="Times New Roman" w:hAnsi="Times New Roman" w:eastAsia="Times New Roman" w:cs="Times New Roman"/>
          <w:color w:val="000000" w:themeColor="text1"/>
          <w:sz w:val="24"/>
          <w:szCs w:val="24"/>
          <w:lang w:eastAsia="zh-CN"/>
          <w14:textFill>
            <w14:solidFill>
              <w14:schemeClr w14:val="tx1"/>
            </w14:solidFill>
          </w14:textFill>
        </w:rPr>
      </w:pPr>
      <w:r>
        <w:rPr>
          <w:rFonts w:ascii="Times New Roman" w:hAnsi="Times New Roman" w:eastAsia="Times New Roman" w:cs="Times New Roman"/>
          <w:color w:val="000000" w:themeColor="text1"/>
          <w:sz w:val="24"/>
          <w:szCs w:val="24"/>
          <w:shd w:val="clear" w:color="auto" w:fill="FFFFFF"/>
          <w:lang w:eastAsia="zh-CN"/>
          <w14:textFill>
            <w14:solidFill>
              <w14:schemeClr w14:val="tx1"/>
            </w14:solidFill>
          </w14:textFill>
        </w:rPr>
        <w:t>По возможности, следует оборудовать в санузле дополнительные поручни, которые при ненадобности можно легко убрать.</w:t>
      </w:r>
    </w:p>
    <w:p>
      <w:pPr>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В некоторых номерах рекомендуется устанавливать переносные телефоны. Они должны быть совместимыми со слуховыми аппаратами.</w:t>
      </w:r>
    </w:p>
    <w:p>
      <w:pPr>
        <w:shd w:val="clear" w:color="auto" w:fill="FFFFFF"/>
        <w:snapToGrid w:val="0"/>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Исходя из всего вышесказанного, формирование безбарьерной среды для лиц с ограниченными возможностями здоровья - это долгосрочный процесс, но он предоставит возможность для привлечения большого числа гостей, и повлияет на конкурентоспособность гостиничного предприятия среди аналогичных средств размещения</w:t>
      </w:r>
    </w:p>
    <w:p>
      <w:pPr>
        <w:spacing w:after="0" w:line="240" w:lineRule="auto"/>
        <w:ind w:firstLine="709"/>
        <w:jc w:val="both"/>
        <w:rPr>
          <w:rFonts w:ascii="Times New Roman" w:hAnsi="Times New Roman" w:eastAsia="Times New Roman" w:cs="Times New Roman"/>
          <w:sz w:val="24"/>
          <w:szCs w:val="24"/>
          <w:lang w:eastAsia="zh-CN"/>
        </w:rPr>
      </w:pPr>
      <w:r>
        <w:rPr>
          <w:rFonts w:ascii="Times New Roman" w:hAnsi="Times New Roman" w:eastAsia="Times New Roman" w:cs="Times New Roman"/>
          <w:color w:val="000000"/>
          <w:sz w:val="24"/>
          <w:szCs w:val="24"/>
          <w:lang w:eastAsia="zh-CN"/>
        </w:rPr>
        <w:t>__________________________________________________________________________</w:t>
      </w:r>
    </w:p>
    <w:p>
      <w:pPr>
        <w:numPr>
          <w:ilvl w:val="0"/>
          <w:numId w:val="4"/>
        </w:numPr>
        <w:spacing w:after="0" w:line="240" w:lineRule="auto"/>
        <w:ind w:left="0" w:firstLine="1072"/>
        <w:jc w:val="both"/>
        <w:textAlignment w:val="baseline"/>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2D2D2D"/>
          <w:sz w:val="24"/>
          <w:szCs w:val="24"/>
          <w:lang w:eastAsia="zh-CN"/>
        </w:rPr>
        <w:t xml:space="preserve">СП </w:t>
      </w:r>
      <w:r>
        <w:rPr>
          <w:rFonts w:ascii="Times New Roman" w:hAnsi="Times New Roman" w:eastAsia="Times New Roman" w:cs="Times New Roman"/>
          <w:color w:val="000000"/>
          <w:sz w:val="24"/>
          <w:szCs w:val="24"/>
          <w:lang w:eastAsia="zh-CN"/>
        </w:rPr>
        <w:t>59.13330.2016, свод правил. Доступность зданий и сооружений для маломобильных групп населения. [Электронный ресурс]. –  Режим доступа: http://docs.cntd.ru/document/456033921</w:t>
      </w:r>
    </w:p>
    <w:p>
      <w:pPr>
        <w:numPr>
          <w:ilvl w:val="0"/>
          <w:numId w:val="4"/>
        </w:numPr>
        <w:spacing w:after="0" w:line="240" w:lineRule="auto"/>
        <w:ind w:left="0" w:firstLine="1072"/>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bCs/>
          <w:sz w:val="24"/>
          <w:szCs w:val="24"/>
          <w:lang w:eastAsia="zh-CN"/>
        </w:rPr>
        <w:t>ГОСТ Р 55699-2013 «Доступные средства размещения для туристов с ограниченными физическими возможностями».</w:t>
      </w:r>
      <w:r>
        <w:rPr>
          <w:rFonts w:ascii="Times New Roman" w:hAnsi="Times New Roman" w:eastAsia="Times New Roman" w:cs="Times New Roman"/>
          <w:color w:val="000000"/>
          <w:sz w:val="24"/>
          <w:szCs w:val="24"/>
          <w:lang w:eastAsia="zh-CN"/>
        </w:rPr>
        <w:t xml:space="preserve"> [Электронный ресурс]. –  Режим доступа: </w:t>
      </w:r>
      <w:r>
        <w:rPr>
          <w:rFonts w:ascii="Times New Roman" w:hAnsi="Times New Roman" w:cs="Times New Roman" w:eastAsiaTheme="minorEastAsia"/>
          <w:sz w:val="24"/>
          <w:szCs w:val="24"/>
          <w:lang w:eastAsia="zh-CN"/>
        </w:rPr>
        <w:t>http://docs.cntd.ru/document/1200107032</w:t>
      </w:r>
    </w:p>
    <w:p>
      <w:pPr>
        <w:numPr>
          <w:ilvl w:val="0"/>
          <w:numId w:val="4"/>
        </w:numPr>
        <w:spacing w:after="0" w:line="240" w:lineRule="auto"/>
        <w:ind w:left="0" w:firstLine="1072"/>
        <w:contextualSpacing/>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eastAsia="zh-CN"/>
        </w:rPr>
        <w:t>Федеральная служба государственной статистики. [Электронный ресурс] –</w:t>
      </w:r>
      <w:r>
        <w:rPr>
          <w:rFonts w:ascii="Times New Roman" w:hAnsi="Times New Roman" w:eastAsia="Times New Roman" w:cs="Times New Roman"/>
          <w:color w:val="000000"/>
          <w:sz w:val="24"/>
          <w:szCs w:val="24"/>
          <w:lang w:eastAsia="zh-CN"/>
        </w:rPr>
        <w:br w:type="textWrapping"/>
      </w:r>
      <w:r>
        <w:rPr>
          <w:rFonts w:ascii="Times New Roman" w:hAnsi="Times New Roman" w:eastAsia="Times New Roman" w:cs="Times New Roman"/>
          <w:color w:val="000000"/>
          <w:sz w:val="24"/>
          <w:szCs w:val="24"/>
          <w:lang w:eastAsia="zh-CN"/>
        </w:rPr>
        <w:t xml:space="preserve"> Режим доступа: </w:t>
      </w:r>
      <w:r>
        <w:rPr>
          <w:rFonts w:ascii="Times New Roman" w:hAnsi="Times New Roman" w:eastAsia="Times New Roman" w:cs="Times New Roman"/>
          <w:color w:val="000000"/>
          <w:sz w:val="24"/>
          <w:szCs w:val="24"/>
          <w:lang w:val="en-US" w:eastAsia="zh-CN"/>
        </w:rPr>
        <w:t>http</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www</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gks</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ru</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wps</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wcm</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connect</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rosstat</w:t>
      </w:r>
      <w:r>
        <w:rPr>
          <w:rFonts w:ascii="Times New Roman" w:hAnsi="Times New Roman" w:eastAsia="Times New Roman" w:cs="Times New Roman"/>
          <w:color w:val="000000"/>
          <w:sz w:val="24"/>
          <w:szCs w:val="24"/>
          <w:lang w:eastAsia="zh-CN"/>
        </w:rPr>
        <w:t>_</w:t>
      </w:r>
      <w:r>
        <w:rPr>
          <w:rFonts w:ascii="Times New Roman" w:hAnsi="Times New Roman" w:eastAsia="Times New Roman" w:cs="Times New Roman"/>
          <w:color w:val="000000"/>
          <w:sz w:val="24"/>
          <w:szCs w:val="24"/>
          <w:lang w:val="en-US" w:eastAsia="zh-CN"/>
        </w:rPr>
        <w:t>main</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rosstat</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ru</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statistics</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population</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en-US" w:eastAsia="zh-CN"/>
        </w:rPr>
        <w:t>disabilities</w:t>
      </w:r>
      <w:r>
        <w:rPr>
          <w:rFonts w:ascii="Times New Roman" w:hAnsi="Times New Roman" w:eastAsia="Times New Roman" w:cs="Times New Roman"/>
          <w:color w:val="000000"/>
          <w:sz w:val="24"/>
          <w:szCs w:val="24"/>
          <w:lang w:eastAsia="zh-CN"/>
        </w:rPr>
        <w:t>/</w:t>
      </w:r>
    </w:p>
    <w:p>
      <w:pPr>
        <w:spacing w:after="0" w:line="240" w:lineRule="auto"/>
        <w:ind w:left="1072"/>
        <w:jc w:val="both"/>
        <w:rPr>
          <w:rFonts w:eastAsiaTheme="minorEastAsia"/>
          <w:lang w:eastAsia="zh-CN"/>
        </w:rPr>
      </w:pPr>
    </w:p>
    <w:p>
      <w:pPr>
        <w:spacing w:line="240" w:lineRule="auto"/>
        <w:rPr>
          <w:rFonts w:ascii="Times New Roman" w:hAnsi="Times New Roman" w:cs="Times New Roman"/>
          <w:sz w:val="18"/>
          <w:szCs w:val="18"/>
        </w:rPr>
      </w:pPr>
    </w:p>
    <w:sectPr>
      <w:pgSz w:w="11906" w:h="16838"/>
      <w:pgMar w:top="1134" w:right="850" w:bottom="1134" w:left="1701" w:header="708" w:footer="708" w:gutter="0"/>
      <w:cols w:space="708"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Unknown Author" w:date="2020-04-22T01:55:00Z" w:initials="">
    <w:p w14:paraId="DFDF82EC">
      <w:r>
        <w:rPr>
          <w:rFonts w:ascii="Calibri" w:hAnsi="Calibri"/>
          <w:sz w:val="20"/>
        </w:rPr>
        <w:t>По каким критериям? Чуть подробнее, почему именно эти конкуренты</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DFDF82E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Noto Sans CJK SC"/>
    <w:panose1 w:val="00000000000000000000"/>
    <w:charset w:val="86"/>
    <w:family w:val="auto"/>
    <w:pitch w:val="default"/>
    <w:sig w:usb0="00000000" w:usb1="00000000" w:usb2="00000000" w:usb3="00000000" w:csb0="00000000" w:csb1="00000000"/>
  </w:font>
  <w:font w:name="Arial">
    <w:panose1 w:val="020B0604020202020204"/>
    <w:charset w:val="00"/>
    <w:family w:val="swiss"/>
    <w:pitch w:val="default"/>
    <w:sig w:usb0="00007A87" w:usb1="80000000" w:usb2="00000008" w:usb3="00000000" w:csb0="400001FF" w:csb1="FFFF0000"/>
  </w:font>
  <w:font w:name="黑体">
    <w:altName w:val="Noto Sans CJK SC"/>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Wingdings">
    <w:altName w:val="Andale Mono"/>
    <w:panose1 w:val="05000000000000000000"/>
    <w:charset w:val="00"/>
    <w:family w:val="auto"/>
    <w:pitch w:val="default"/>
    <w:sig w:usb0="00000000" w:usb1="10000000" w:usb2="00000000" w:usb3="00000000" w:csb0="80000000" w:csb1="00000000"/>
  </w:font>
  <w:font w:name="Calibri">
    <w:altName w:val="Trebuchet MS"/>
    <w:panose1 w:val="020F0502020204030204"/>
    <w:charset w:val="86"/>
    <w:family w:val="swiss"/>
    <w:pitch w:val="default"/>
    <w:sig w:usb0="00000000" w:usb1="00000000" w:usb2="00000001" w:usb3="00000000" w:csb0="0000019F" w:csb1="00000000"/>
  </w:font>
  <w:font w:name="SimSun">
    <w:altName w:val="Noto Sans CJK SC"/>
    <w:panose1 w:val="02010600030101010101"/>
    <w:charset w:val="86"/>
    <w:family w:val="auto"/>
    <w:pitch w:val="default"/>
    <w:sig w:usb0="00000000" w:usb1="00000000" w:usb2="00000016" w:usb3="00000000" w:csb0="00040001" w:csb1="00000000"/>
  </w:font>
  <w:font w:name="Calibri">
    <w:altName w:val="Trebuchet MS"/>
    <w:panose1 w:val="020F0502020204030204"/>
    <w:charset w:val="CC"/>
    <w:family w:val="swiss"/>
    <w:pitch w:val="default"/>
    <w:sig w:usb0="00000000" w:usb1="00000000" w:usb2="00000001" w:usb3="00000000" w:csb0="0000019F" w:csb1="00000000"/>
  </w:font>
  <w:font w:name="Calibri">
    <w:altName w:val="Trebuchet MS"/>
    <w:panose1 w:val="00000000000000000000"/>
    <w:charset w:val="00"/>
    <w:family w:val="auto"/>
    <w:pitch w:val="default"/>
    <w:sig w:usb0="00000000" w:usb1="00000000" w:usb2="00000000" w:usb3="00000000" w:csb0="00000000" w:csb1="00000000"/>
  </w:font>
  <w:font w:name="Calibri">
    <w:altName w:val="Trebuchet MS"/>
    <w:panose1 w:val="00000000000000000000"/>
    <w:charset w:val="01"/>
    <w:family w:val="auto"/>
    <w:pitch w:val="default"/>
    <w:sig w:usb0="00000000" w:usb1="00000000" w:usb2="00000000" w:usb3="00000000" w:csb0="00000000" w:csb1="00000000"/>
  </w:font>
  <w:font w:name="Symbol">
    <w:altName w:val="Standard Symbols PS"/>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00007A87" w:usb1="80000000" w:usb2="00000008" w:usb3="00000000" w:csb0="400001FF" w:csb1="FFFF0000"/>
  </w:font>
  <w:font w:name="Wingdings">
    <w:altName w:val="Standard Symbols PS"/>
    <w:panose1 w:val="05000000000000000000"/>
    <w:charset w:val="02"/>
    <w:family w:val="auto"/>
    <w:pitch w:val="default"/>
    <w:sig w:usb0="00000000" w:usb1="00000000" w:usb2="00000000" w:usb3="00000000" w:csb0="80000000" w:csb1="00000000"/>
  </w:font>
  <w:font w:name="Trebuchet MS">
    <w:panose1 w:val="020B0603020202020204"/>
    <w:charset w:val="00"/>
    <w:family w:val="auto"/>
    <w:pitch w:val="default"/>
    <w:sig w:usb0="00000287" w:usb1="00000000" w:usb2="00000000" w:usb3="00000000" w:csb0="2000009F"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CB70FD"/>
    <w:multiLevelType w:val="multilevel"/>
    <w:tmpl w:val="26CB70FD"/>
    <w:lvl w:ilvl="0" w:tentative="0">
      <w:start w:val="1"/>
      <w:numFmt w:val="bullet"/>
      <w:lvlText w:val="-"/>
      <w:lvlJc w:val="left"/>
      <w:pPr>
        <w:tabs>
          <w:tab w:val="left" w:pos="720"/>
        </w:tabs>
        <w:ind w:left="720" w:hanging="360"/>
      </w:pPr>
      <w:rPr>
        <w:rFonts w:hint="default" w:ascii="Times New Roman" w:hAnsi="Times New Roman" w:cs="Times New Roman"/>
        <w:sz w:val="24"/>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3E2B4B1E"/>
    <w:multiLevelType w:val="multilevel"/>
    <w:tmpl w:val="3E2B4B1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48B76262"/>
    <w:multiLevelType w:val="multilevel"/>
    <w:tmpl w:val="48B76262"/>
    <w:lvl w:ilvl="0" w:tentative="0">
      <w:start w:val="1"/>
      <w:numFmt w:val="bullet"/>
      <w:lvlText w:val="-"/>
      <w:lvlJc w:val="left"/>
      <w:pPr>
        <w:ind w:left="1429" w:hanging="360"/>
      </w:pPr>
      <w:rPr>
        <w:rFonts w:hint="default" w:ascii="Times New Roman" w:hAnsi="Times New Roman" w:cs="Times New Roman"/>
        <w:sz w:val="24"/>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cs="Wingdings"/>
      </w:rPr>
    </w:lvl>
    <w:lvl w:ilvl="3" w:tentative="0">
      <w:start w:val="1"/>
      <w:numFmt w:val="bullet"/>
      <w:lvlText w:val=""/>
      <w:lvlJc w:val="left"/>
      <w:pPr>
        <w:ind w:left="2880" w:hanging="360"/>
      </w:pPr>
      <w:rPr>
        <w:rFonts w:hint="default" w:ascii="Symbol" w:hAnsi="Symbol" w:cs="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cs="Wingdings"/>
      </w:rPr>
    </w:lvl>
    <w:lvl w:ilvl="6" w:tentative="0">
      <w:start w:val="1"/>
      <w:numFmt w:val="bullet"/>
      <w:lvlText w:val=""/>
      <w:lvlJc w:val="left"/>
      <w:pPr>
        <w:ind w:left="5040" w:hanging="360"/>
      </w:pPr>
      <w:rPr>
        <w:rFonts w:hint="default" w:ascii="Symbol" w:hAnsi="Symbol" w:cs="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cs="Wingdings"/>
      </w:rPr>
    </w:lvl>
  </w:abstractNum>
  <w:abstractNum w:abstractNumId="3">
    <w:nsid w:val="571D3C1D"/>
    <w:multiLevelType w:val="multilevel"/>
    <w:tmpl w:val="571D3C1D"/>
    <w:lvl w:ilvl="0" w:tentative="0">
      <w:start w:val="1"/>
      <w:numFmt w:val="bullet"/>
      <w:lvlText w:val=""/>
      <w:lvlJc w:val="left"/>
      <w:pPr>
        <w:ind w:left="1429" w:hanging="360"/>
      </w:pPr>
      <w:rPr>
        <w:rFonts w:hint="default" w:ascii="Symbol" w:hAnsi="Symbol"/>
        <w:color w:val="auto"/>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num w:numId="1">
    <w:abstractNumId w:val="3"/>
  </w:num>
  <w:num w:numId="2">
    <w:abstractNumId w:val="2"/>
  </w:num>
  <w:num w:numId="3">
    <w:abstractNumId w:val="0"/>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Author">
    <w15:presenceInfo w15:providerId="None" w15:userId="Unknown 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708"/>
  <w:autoHyphenation/>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66A"/>
    <w:rsid w:val="0013231F"/>
    <w:rsid w:val="001349D3"/>
    <w:rsid w:val="00216B2B"/>
    <w:rsid w:val="00584C2F"/>
    <w:rsid w:val="006045C2"/>
    <w:rsid w:val="006667E3"/>
    <w:rsid w:val="007F51E4"/>
    <w:rsid w:val="00AE266A"/>
    <w:rsid w:val="00B4436D"/>
    <w:rsid w:val="00B94A6F"/>
    <w:rsid w:val="00C0769A"/>
    <w:rsid w:val="00D70354"/>
    <w:rsid w:val="00E43906"/>
    <w:rsid w:val="7AFBCD9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uiPriority w:val="99"/>
    <w:pPr>
      <w:tabs>
        <w:tab w:val="center" w:pos="4677"/>
        <w:tab w:val="right" w:pos="9355"/>
      </w:tabs>
      <w:spacing w:after="0" w:line="240" w:lineRule="auto"/>
      <w:ind w:firstLine="709"/>
      <w:jc w:val="both"/>
      <w:textAlignment w:val="baseline"/>
    </w:pPr>
    <w:rPr>
      <w:rFonts w:ascii="Times New Roman" w:hAnsi="Times New Roman" w:eastAsia="Times New Roman" w:cs="Times New Roman"/>
      <w:sz w:val="24"/>
      <w:szCs w:val="24"/>
      <w:lang w:eastAsia="ru-RU"/>
    </w:rPr>
  </w:style>
  <w:style w:type="paragraph" w:styleId="5">
    <w:name w:val="header"/>
    <w:basedOn w:val="1"/>
    <w:link w:val="8"/>
    <w:unhideWhenUsed/>
    <w:uiPriority w:val="99"/>
    <w:pPr>
      <w:tabs>
        <w:tab w:val="center" w:pos="4677"/>
        <w:tab w:val="right" w:pos="9355"/>
      </w:tabs>
      <w:spacing w:after="0" w:line="240" w:lineRule="auto"/>
      <w:ind w:firstLine="709"/>
      <w:jc w:val="both"/>
      <w:textAlignment w:val="baseline"/>
    </w:pPr>
    <w:rPr>
      <w:rFonts w:ascii="Times New Roman" w:hAnsi="Times New Roman" w:eastAsia="Times New Roman" w:cs="Times New Roman"/>
      <w:sz w:val="24"/>
      <w:szCs w:val="24"/>
      <w:lang w:eastAsia="ru-RU"/>
    </w:rPr>
  </w:style>
  <w:style w:type="character" w:styleId="6">
    <w:name w:val="Hyperlink"/>
    <w:basedOn w:val="2"/>
    <w:semiHidden/>
    <w:unhideWhenUsed/>
    <w:uiPriority w:val="99"/>
    <w:rPr>
      <w:color w:val="0563C1" w:themeColor="hyperlink"/>
      <w:u w:val="single"/>
      <w14:textFill>
        <w14:solidFill>
          <w14:schemeClr w14:val="hlink"/>
        </w14:solidFill>
      </w14:textFill>
    </w:rPr>
  </w:style>
  <w:style w:type="table" w:styleId="7">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Верхний колонтитул Знак"/>
    <w:basedOn w:val="2"/>
    <w:link w:val="5"/>
    <w:uiPriority w:val="99"/>
    <w:rPr>
      <w:rFonts w:ascii="Times New Roman" w:hAnsi="Times New Roman" w:eastAsia="Times New Roman" w:cs="Times New Roman"/>
      <w:sz w:val="24"/>
      <w:szCs w:val="24"/>
      <w:lang w:eastAsia="ru-RU"/>
    </w:rPr>
  </w:style>
  <w:style w:type="character" w:customStyle="1" w:styleId="9">
    <w:name w:val="Нижний колонтитул Знак"/>
    <w:basedOn w:val="2"/>
    <w:link w:val="4"/>
    <w:uiPriority w:val="99"/>
    <w:rPr>
      <w:rFonts w:ascii="Times New Roman" w:hAnsi="Times New Roman" w:eastAsia="Times New Roman" w:cs="Times New Roman"/>
      <w:sz w:val="24"/>
      <w:szCs w:val="24"/>
      <w:lang w:eastAsia="ru-RU"/>
    </w:rPr>
  </w:style>
  <w:style w:type="table" w:customStyle="1" w:styleId="10">
    <w:name w:val="Сетка таблицы1"/>
    <w:basedOn w:val="3"/>
    <w:uiPriority w:val="39"/>
    <w:pPr>
      <w:spacing w:after="0" w:line="240" w:lineRule="auto"/>
    </w:pPr>
    <w:rPr>
      <w:rFonts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Таблич"/>
    <w:basedOn w:val="1"/>
    <w:link w:val="12"/>
    <w:qFormat/>
    <w:uiPriority w:val="0"/>
    <w:pPr>
      <w:spacing w:after="0" w:line="240" w:lineRule="auto"/>
      <w:jc w:val="center"/>
      <w:textAlignment w:val="baseline"/>
    </w:pPr>
    <w:rPr>
      <w:rFonts w:ascii="Times New Roman" w:hAnsi="Times New Roman" w:eastAsia="SimSun" w:cs="Times New Roman"/>
      <w:sz w:val="24"/>
      <w:szCs w:val="24"/>
      <w:lang w:eastAsia="ru-RU"/>
    </w:rPr>
  </w:style>
  <w:style w:type="character" w:customStyle="1" w:styleId="12">
    <w:name w:val="Таблич Знак"/>
    <w:basedOn w:val="2"/>
    <w:link w:val="11"/>
    <w:qFormat/>
    <w:locked/>
    <w:uiPriority w:val="0"/>
    <w:rPr>
      <w:rFonts w:ascii="Times New Roman" w:hAnsi="Times New Roman" w:eastAsia="SimSun" w:cs="Times New Roman"/>
      <w:sz w:val="24"/>
      <w:szCs w:val="24"/>
      <w:lang w:eastAsia="ru-RU"/>
    </w:rPr>
  </w:style>
  <w:style w:type="paragraph" w:styleId="13">
    <w:name w:val="List Paragraph"/>
    <w:basedOn w:val="1"/>
    <w:qFormat/>
    <w:uiPriority w:val="34"/>
    <w:pPr>
      <w:spacing w:after="0" w:line="240" w:lineRule="auto"/>
      <w:ind w:left="720" w:firstLine="709"/>
      <w:contextualSpacing/>
      <w:jc w:val="both"/>
      <w:textAlignment w:val="baseline"/>
    </w:pPr>
    <w:rPr>
      <w:rFonts w:ascii="Times New Roman" w:hAnsi="Times New Roman" w:eastAsia="Times New Roman" w:cs="Times New Roman"/>
      <w:sz w:val="24"/>
      <w:szCs w:val="24"/>
      <w:lang w:eastAsia="ru-RU"/>
    </w:rPr>
  </w:style>
  <w:style w:type="character" w:customStyle="1" w:styleId="14">
    <w:name w:val="Гиперссылка1"/>
    <w:basedOn w:val="2"/>
    <w:unhideWhenUsed/>
    <w:uiPriority w:val="99"/>
    <w:rPr>
      <w:rFonts w:cs="Times New Roman"/>
      <w:color w:val="0563C1"/>
      <w:u w:val="single"/>
    </w:rPr>
  </w:style>
  <w:style w:type="character" w:customStyle="1" w:styleId="15">
    <w:name w:val="Unresolved Mention"/>
    <w:basedOn w:val="2"/>
    <w:semiHidden/>
    <w:unhideWhenUsed/>
    <w:uiPriority w:val="99"/>
    <w:rPr>
      <w:rFonts w:cs="Times New Roman"/>
      <w:color w:val="605E5C"/>
      <w:shd w:val="clear" w:color="auto" w:fill="E1DFDD"/>
    </w:rPr>
  </w:style>
  <w:style w:type="table" w:customStyle="1" w:styleId="16">
    <w:name w:val="Сетка таблицы2"/>
    <w:basedOn w:val="3"/>
    <w:uiPriority w:val="39"/>
    <w:pPr>
      <w:spacing w:after="0" w:line="240" w:lineRule="auto"/>
    </w:pPr>
    <w:rPr>
      <w:rFonts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
    <w:name w:val="Сетка таблицы11"/>
    <w:basedOn w:val="3"/>
    <w:uiPriority w:val="59"/>
    <w:pPr>
      <w:spacing w:after="0" w:line="240" w:lineRule="auto"/>
    </w:pPr>
    <w:rPr>
      <w:rFonts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
    <w:name w:val="Сетка таблицы3"/>
    <w:basedOn w:val="3"/>
    <w:uiPriority w:val="0"/>
    <w:pPr>
      <w:suppressAutoHyphens/>
      <w:spacing w:after="0" w:line="240" w:lineRule="auto"/>
    </w:pPr>
    <w:rPr>
      <w:rFonts w:eastAsiaTheme="minorEastAsia"/>
      <w:sz w:val="20"/>
      <w:szCs w:val="20"/>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 TargetMode="External"/></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true"/>
          <a:lstStyle/>
          <a:p>
            <a:pPr>
              <a:defRPr lang="ru-RU" sz="1200" b="0" i="0" u="none" strike="noStrike" kern="1200" spc="-1" baseline="0">
                <a:solidFill>
                  <a:srgbClr val="000000"/>
                </a:solidFill>
                <a:latin typeface="Times New Roman" panose="02020603050405020304"/>
                <a:ea typeface="+mn-ea"/>
                <a:cs typeface="+mn-cs"/>
              </a:defRPr>
            </a:pPr>
            <a:r>
              <a:rPr lang="ru-RU" sz="1200" b="0" strike="noStrike" spc="-1">
                <a:solidFill>
                  <a:srgbClr val="000000"/>
                </a:solidFill>
                <a:latin typeface="Times New Roman" panose="02020603050405020304"/>
              </a:rPr>
              <a:t>Динамика численности лиц с ОВЗ 
в России, тыс.чел</a:t>
            </a:r>
            <a:endParaRPr lang="ru-RU" sz="1200" b="0" strike="noStrike" spc="-1">
              <a:solidFill>
                <a:srgbClr val="000000"/>
              </a:solidFill>
              <a:latin typeface="Times New Roman" panose="02020603050405020304"/>
            </a:endParaRPr>
          </a:p>
        </c:rich>
      </c:tx>
      <c:layout>
        <c:manualLayout>
          <c:xMode val="edge"/>
          <c:yMode val="edge"/>
          <c:x val="0.183477321814255"/>
          <c:y val="0.0477174137574881"/>
        </c:manualLayout>
      </c:layout>
      <c:overlay val="false"/>
      <c:spPr>
        <a:noFill/>
        <a:ln>
          <a:noFill/>
        </a:ln>
      </c:spPr>
    </c:title>
    <c:autoTitleDeleted val="false"/>
    <c:plotArea>
      <c:layout/>
      <c:barChart>
        <c:barDir val="col"/>
        <c:grouping val="clustered"/>
        <c:varyColors val="false"/>
        <c:ser>
          <c:idx val="0"/>
          <c:order val="0"/>
          <c:tx>
            <c:strRef>
              <c:f>label 0</c:f>
              <c:strCache>
                <c:ptCount val="1"/>
                <c:pt idx="0">
                  <c:v>численность</c:v>
                </c:pt>
              </c:strCache>
            </c:strRef>
          </c:tx>
          <c:spPr>
            <a:solidFill>
              <a:srgbClr val="404040"/>
            </a:solidFill>
            <a:ln>
              <a:noFill/>
            </a:ln>
          </c:spPr>
          <c:invertIfNegative val="false"/>
          <c:dLbls>
            <c:spPr>
              <a:noFill/>
              <a:ln>
                <a:noFill/>
              </a:ln>
              <a:effectLst/>
            </c:spPr>
            <c:txPr>
              <a:bodyPr rot="0" spcFirstLastPara="0" vertOverflow="ellipsis" vert="horz" wrap="square" lIns="38100" tIns="19050" rIns="38100" bIns="19050" anchor="ctr" anchorCtr="true"/>
              <a:lstStyle/>
              <a:p>
                <a:pPr>
                  <a:defRPr lang="en-US" sz="900" b="0" i="0" u="none" strike="noStrike" kern="1200" spc="-1" baseline="0">
                    <a:solidFill>
                      <a:srgbClr val="000000"/>
                    </a:solidFill>
                    <a:latin typeface="Calibri"/>
                    <a:ea typeface="+mn-ea"/>
                    <a:cs typeface="+mn-cs"/>
                  </a:defRPr>
                </a:pPr>
              </a:p>
            </c:txPr>
            <c:dLblPos val="outEnd"/>
            <c:showLegendKey val="false"/>
            <c:showVal val="true"/>
            <c:showCatName val="false"/>
            <c:showSerName val="false"/>
            <c:showPercent val="false"/>
            <c:showBubbleSize val="true"/>
            <c:separator>; </c:separator>
            <c:showLeaderLines val="false"/>
            <c:extLst>
              <c:ext xmlns:c15="http://schemas.microsoft.com/office/drawing/2012/chart" uri="{CE6537A1-D6FC-4f65-9D91-7224C49458BB}">
                <c15:layout/>
                <c15:showLeaderLines val="false"/>
                <c15:leaderLines/>
              </c:ext>
            </c:extLst>
          </c:dLbls>
          <c:cat>
            <c:numRef>
              <c:f>categories</c:f>
              <c:numCache>
                <c:formatCode>General</c:formatCode>
                <c:ptCount val="5"/>
                <c:pt idx="0">
                  <c:v>2015</c:v>
                </c:pt>
                <c:pt idx="1">
                  <c:v>2016</c:v>
                </c:pt>
                <c:pt idx="2">
                  <c:v>2017</c:v>
                </c:pt>
                <c:pt idx="3">
                  <c:v>2018</c:v>
                </c:pt>
                <c:pt idx="4">
                  <c:v>2019</c:v>
                </c:pt>
              </c:numCache>
            </c:numRef>
          </c:cat>
          <c:val>
            <c:numRef>
              <c:f>0</c:f>
              <c:numCache>
                <c:formatCode>General</c:formatCode>
                <c:ptCount val="5"/>
                <c:pt idx="0">
                  <c:v>12924</c:v>
                </c:pt>
                <c:pt idx="1">
                  <c:v>12751</c:v>
                </c:pt>
                <c:pt idx="2">
                  <c:v>12261</c:v>
                </c:pt>
                <c:pt idx="3">
                  <c:v>12111</c:v>
                </c:pt>
                <c:pt idx="4">
                  <c:v>11947</c:v>
                </c:pt>
              </c:numCache>
            </c:numRef>
          </c:val>
        </c:ser>
        <c:dLbls>
          <c:showLegendKey val="false"/>
          <c:showVal val="false"/>
          <c:showCatName val="false"/>
          <c:showSerName val="false"/>
          <c:showPercent val="false"/>
          <c:showBubbleSize val="false"/>
        </c:dLbls>
        <c:gapWidth val="219"/>
        <c:overlap val="-27"/>
        <c:axId val="539070064"/>
        <c:axId val="539070456"/>
      </c:barChart>
      <c:catAx>
        <c:axId val="539070064"/>
        <c:scaling>
          <c:orientation val="minMax"/>
        </c:scaling>
        <c:delete val="false"/>
        <c:axPos val="b"/>
        <c:numFmt formatCode="General" sourceLinked="true"/>
        <c:majorTickMark val="none"/>
        <c:minorTickMark val="none"/>
        <c:tickLblPos val="nextTo"/>
        <c:spPr>
          <a:ln w="9360" cap="flat" cmpd="sng" algn="ctr">
            <a:solidFill>
              <a:srgbClr val="D9D9D9"/>
            </a:solidFill>
            <a:prstDash val="solid"/>
            <a:round/>
          </a:ln>
        </c:spPr>
        <c:txPr>
          <a:bodyPr rot="-60000000" spcFirstLastPara="0" vertOverflow="ellipsis" vert="horz" wrap="square" anchor="ctr" anchorCtr="true"/>
          <a:lstStyle/>
          <a:p>
            <a:pPr>
              <a:defRPr lang="en-US" sz="900" b="0" i="0" u="none" strike="noStrike" kern="1200" spc="-1" baseline="0">
                <a:solidFill>
                  <a:srgbClr val="000000"/>
                </a:solidFill>
                <a:latin typeface="Calibri"/>
                <a:ea typeface="+mn-ea"/>
                <a:cs typeface="+mn-cs"/>
              </a:defRPr>
            </a:pPr>
          </a:p>
        </c:txPr>
        <c:crossAx val="539070456"/>
        <c:crosses val="autoZero"/>
        <c:auto val="true"/>
        <c:lblAlgn val="ctr"/>
        <c:lblOffset val="100"/>
        <c:noMultiLvlLbl val="false"/>
      </c:catAx>
      <c:valAx>
        <c:axId val="539070456"/>
        <c:scaling>
          <c:orientation val="minMax"/>
        </c:scaling>
        <c:delete val="false"/>
        <c:axPos val="l"/>
        <c:majorGridlines>
          <c:spPr>
            <a:ln w="9360" cap="flat" cmpd="sng" algn="ctr">
              <a:solidFill>
                <a:srgbClr val="D9D9D9"/>
              </a:solidFill>
              <a:prstDash val="solid"/>
              <a:round/>
            </a:ln>
          </c:spPr>
        </c:majorGridlines>
        <c:numFmt formatCode="General" sourceLinked="false"/>
        <c:majorTickMark val="none"/>
        <c:minorTickMark val="none"/>
        <c:tickLblPos val="nextTo"/>
        <c:spPr>
          <a:ln w="6480" cap="flat" cmpd="sng" algn="ctr">
            <a:noFill/>
            <a:prstDash val="solid"/>
            <a:round/>
          </a:ln>
        </c:spPr>
        <c:txPr>
          <a:bodyPr rot="-60000000" spcFirstLastPara="0" vertOverflow="ellipsis" vert="horz" wrap="square" anchor="ctr" anchorCtr="true"/>
          <a:lstStyle/>
          <a:p>
            <a:pPr>
              <a:defRPr lang="en-US" sz="900" b="0" i="0" u="none" strike="noStrike" kern="1200" spc="-1" baseline="0">
                <a:solidFill>
                  <a:srgbClr val="000000"/>
                </a:solidFill>
                <a:latin typeface="Calibri"/>
                <a:ea typeface="+mn-ea"/>
                <a:cs typeface="+mn-cs"/>
              </a:defRPr>
            </a:pPr>
          </a:p>
        </c:txPr>
        <c:crossAx val="539070064"/>
        <c:crosses val="autoZero"/>
        <c:crossBetween val="between"/>
      </c:valAx>
      <c:spPr>
        <a:noFill/>
        <a:ln>
          <a:noFill/>
        </a:ln>
      </c:spPr>
    </c:plotArea>
    <c:plotVisOnly val="true"/>
    <c:dispBlanksAs val="gap"/>
    <c:showDLblsOverMax val="true"/>
  </c:chart>
  <c:spPr>
    <a:solidFill>
      <a:srgbClr val="FFFFFF"/>
    </a:solidFill>
    <a:ln w="9360" cap="flat" cmpd="sng" algn="ctr">
      <a:noFill/>
      <a:prstDash val="solid"/>
      <a:round/>
    </a:ln>
  </c:spPr>
  <c:txPr>
    <a:bodyPr/>
    <a:lstStyle/>
    <a:p>
      <a:pPr>
        <a:defRPr lang="en-US"/>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true"/>
          <a:lstStyle/>
          <a:p>
            <a:pPr>
              <a:defRPr lang="ru-RU" sz="1200" b="0" i="0" u="none" strike="noStrike" kern="1200" spc="-1" baseline="0">
                <a:solidFill>
                  <a:srgbClr val="000000"/>
                </a:solidFill>
                <a:latin typeface="Times New Roman" panose="02020603050405020304"/>
                <a:ea typeface="+mn-ea"/>
                <a:cs typeface="+mn-cs"/>
              </a:defRPr>
            </a:pPr>
            <a:r>
              <a:rPr lang="ru-RU" sz="1200" b="0" strike="noStrike" spc="-1">
                <a:solidFill>
                  <a:srgbClr val="000000"/>
                </a:solidFill>
                <a:latin typeface="Times New Roman" panose="02020603050405020304"/>
              </a:rPr>
              <a:t>Численность лиц ОВЗ в России по группам инвалидности (тыс. чел)</a:t>
            </a:r>
            <a:endParaRPr lang="ru-RU" sz="1200" b="0" strike="noStrike" spc="-1">
              <a:solidFill>
                <a:srgbClr val="000000"/>
              </a:solidFill>
              <a:latin typeface="Times New Roman" panose="02020603050405020304"/>
            </a:endParaRPr>
          </a:p>
        </c:rich>
      </c:tx>
      <c:layout>
        <c:manualLayout>
          <c:xMode val="edge"/>
          <c:yMode val="edge"/>
          <c:x val="0.162574278215223"/>
          <c:y val="0"/>
        </c:manualLayout>
      </c:layout>
      <c:overlay val="false"/>
      <c:spPr>
        <a:noFill/>
        <a:ln>
          <a:noFill/>
        </a:ln>
      </c:spPr>
    </c:title>
    <c:autoTitleDeleted val="false"/>
    <c:plotArea>
      <c:layout>
        <c:manualLayout>
          <c:layoutTarget val="inner"/>
          <c:xMode val="edge"/>
          <c:yMode val="edge"/>
          <c:x val="0.294125"/>
          <c:y val="0.244555555555556"/>
          <c:w val="0.4754375"/>
          <c:h val="0.75"/>
        </c:manualLayout>
      </c:layout>
      <c:pieChart>
        <c:varyColors val="true"/>
        <c:ser>
          <c:idx val="0"/>
          <c:order val="0"/>
          <c:tx>
            <c:strRef>
              <c:f>label 0</c:f>
              <c:strCache>
                <c:ptCount val="1"/>
                <c:pt idx="0">
                  <c:v>Series1</c:v>
                </c:pt>
              </c:strCache>
            </c:strRef>
          </c:tx>
          <c:spPr>
            <a:solidFill>
              <a:srgbClr val="404040"/>
            </a:solidFill>
            <a:ln>
              <a:noFill/>
            </a:ln>
          </c:spPr>
          <c:explosion val="0"/>
          <c:dPt>
            <c:idx val="0"/>
            <c:bubble3D val="false"/>
            <c:spPr>
              <a:solidFill>
                <a:srgbClr val="404040"/>
              </a:solidFill>
              <a:ln w="19080">
                <a:solidFill>
                  <a:srgbClr val="FFFFFF"/>
                </a:solidFill>
                <a:round/>
              </a:ln>
            </c:spPr>
          </c:dPt>
          <c:dPt>
            <c:idx val="1"/>
            <c:bubble3D val="false"/>
            <c:explosion val="5"/>
            <c:spPr>
              <a:solidFill>
                <a:srgbClr val="404040"/>
              </a:solidFill>
              <a:ln w="19080">
                <a:solidFill>
                  <a:srgbClr val="FFFFFF"/>
                </a:solidFill>
                <a:round/>
              </a:ln>
            </c:spPr>
          </c:dPt>
          <c:dPt>
            <c:idx val="2"/>
            <c:bubble3D val="false"/>
            <c:explosion val="5"/>
            <c:spPr>
              <a:solidFill>
                <a:srgbClr val="404040"/>
              </a:solidFill>
              <a:ln w="19080">
                <a:solidFill>
                  <a:srgbClr val="FFFFFF"/>
                </a:solidFill>
                <a:round/>
              </a:ln>
            </c:spPr>
          </c:dPt>
          <c:dPt>
            <c:idx val="3"/>
            <c:bubble3D val="false"/>
            <c:spPr>
              <a:solidFill>
                <a:srgbClr val="404040"/>
              </a:solidFill>
              <a:ln w="19080">
                <a:solidFill>
                  <a:srgbClr val="FFFFFF"/>
                </a:solidFill>
                <a:round/>
              </a:ln>
            </c:spPr>
          </c:dPt>
          <c:dLbls>
            <c:dLbl>
              <c:idx val="0"/>
              <c:layout>
                <c:manualLayout>
                  <c:x val="-0.127655966081163"/>
                  <c:y val="0.207119741100324"/>
                </c:manualLayout>
              </c:layout>
              <c:tx>
                <c:rich>
                  <a:bodyPr rot="0" spcFirstLastPara="0" vertOverflow="ellipsis" vert="horz" wrap="square" lIns="38100" tIns="19050" rIns="38100" bIns="19050" anchor="ctr" anchorCtr="true"/>
                  <a:lstStyle/>
                  <a:p>
                    <a:pPr>
                      <a:defRPr lang="en-US" sz="1000" b="0" i="0" u="none" strike="noStrike" kern="1200" baseline="0">
                        <a:solidFill>
                          <a:schemeClr val="tx1"/>
                        </a:solidFill>
                        <a:latin typeface="+mn-lt"/>
                        <a:ea typeface="+mn-ea"/>
                        <a:cs typeface="+mn-cs"/>
                      </a:defRPr>
                    </a:pPr>
                    <a:r>
                      <a:rPr lang="en-US" sz="1100" b="0" strike="noStrike" spc="-1">
                        <a:solidFill>
                          <a:schemeClr val="bg1"/>
                        </a:solidFill>
                        <a:latin typeface="Times New Roman" panose="02020603050405020304" charset="0"/>
                        <a:cs typeface="Times New Roman" panose="02020603050405020304" charset="0"/>
                      </a:rPr>
                      <a:t>I </a:t>
                    </a:r>
                    <a:r>
                      <a:rPr lang="ru-RU" sz="1100" b="0" strike="noStrike" spc="-1">
                        <a:solidFill>
                          <a:schemeClr val="bg1"/>
                        </a:solidFill>
                        <a:latin typeface="Times New Roman" panose="02020603050405020304" charset="0"/>
                        <a:cs typeface="Times New Roman" panose="02020603050405020304" charset="0"/>
                      </a:rPr>
                      <a:t>гр.</a:t>
                    </a:r>
                    <a:br>
                      <a:rPr lang="ru-RU" sz="1100" b="0" strike="noStrike" spc="-1">
                        <a:solidFill>
                          <a:schemeClr val="bg1"/>
                        </a:solidFill>
                        <a:latin typeface="Times New Roman" panose="02020603050405020304" charset="0"/>
                        <a:cs typeface="Times New Roman" panose="02020603050405020304" charset="0"/>
                      </a:rPr>
                    </a:br>
                    <a:r>
                      <a:rPr lang="ru-RU" sz="1100" b="0" strike="noStrike" spc="-1">
                        <a:solidFill>
                          <a:schemeClr val="bg1"/>
                        </a:solidFill>
                        <a:latin typeface="Times New Roman" panose="02020603050405020304" charset="0"/>
                        <a:cs typeface="Times New Roman" panose="02020603050405020304" charset="0"/>
                      </a:rPr>
                      <a:t>12%</a:t>
                    </a:r>
                    <a:endParaRPr lang="ru-RU" sz="1100" b="0" strike="noStrike" spc="-1">
                      <a:solidFill>
                        <a:schemeClr val="bg1"/>
                      </a:solidFill>
                      <a:latin typeface="Times New Roman" panose="02020603050405020304" charset="0"/>
                      <a:cs typeface="Times New Roman" panose="02020603050405020304" charset="0"/>
                    </a:endParaRPr>
                  </a:p>
                </c:rich>
              </c:tx>
              <c:numFmt formatCode="General" sourceLinked="true"/>
              <c:spPr>
                <a:noFill/>
                <a:ln>
                  <a:noFill/>
                </a:ln>
                <a:effectLst/>
              </c:spPr>
              <c:txPr>
                <a:bodyPr rot="0" spcFirstLastPara="0" vertOverflow="ellipsis" vert="horz" wrap="square" lIns="38100" tIns="19050" rIns="38100" bIns="19050" anchor="ctr" anchorCtr="true"/>
                <a:lstStyle/>
                <a:p>
                  <a:pPr>
                    <a:defRPr lang="en-US" sz="1000" b="0" i="0" u="none" strike="noStrike" kern="1200" baseline="0">
                      <a:solidFill>
                        <a:schemeClr val="tx1"/>
                      </a:solidFill>
                      <a:latin typeface="+mn-lt"/>
                      <a:ea typeface="+mn-ea"/>
                      <a:cs typeface="+mn-cs"/>
                    </a:defRPr>
                  </a:pPr>
                </a:p>
              </c:txPr>
              <c:dLblPos val="bestFit"/>
              <c:showLegendKey val="false"/>
              <c:showVal val="false"/>
              <c:showCatName val="false"/>
              <c:showSerName val="false"/>
              <c:showPercent val="true"/>
              <c:showBubbleSize val="true"/>
              <c:separator>
</c:separator>
              <c:extLst>
                <c:ext xmlns:c15="http://schemas.microsoft.com/office/drawing/2012/chart" uri="{CE6537A1-D6FC-4f65-9D91-7224C49458BB}">
                  <c15:layout>
                    <c:manualLayout>
                      <c:w val="0.199876923076923"/>
                      <c:h val="0.219093851132686"/>
                    </c:manualLayout>
                  </c15:layout>
                </c:ext>
              </c:extLst>
            </c:dLbl>
            <c:dLbl>
              <c:idx val="1"/>
              <c:layout/>
              <c:tx>
                <c:rich>
                  <a:bodyPr rot="0" spcFirstLastPara="0" vertOverflow="ellipsis" vert="horz" wrap="square" lIns="38100" tIns="19050" rIns="38100" bIns="19050" anchor="ctr" anchorCtr="true"/>
                  <a:lstStyle/>
                  <a:p>
                    <a:pPr>
                      <a:defRPr lang="en-US" sz="1000" b="0" i="0" u="none" strike="noStrike" kern="1200" baseline="0">
                        <a:solidFill>
                          <a:schemeClr val="tx1"/>
                        </a:solidFill>
                        <a:latin typeface="+mn-lt"/>
                        <a:ea typeface="+mn-ea"/>
                        <a:cs typeface="+mn-cs"/>
                      </a:defRPr>
                    </a:pPr>
                    <a:r>
                      <a:rPr lang="en-US" sz="1100" b="0" strike="noStrike" spc="-1">
                        <a:solidFill>
                          <a:schemeClr val="bg1"/>
                        </a:solidFill>
                        <a:latin typeface="Times New Roman" panose="02020603050405020304" charset="0"/>
                        <a:cs typeface="Times New Roman" panose="02020603050405020304" charset="0"/>
                      </a:rPr>
                      <a:t>II </a:t>
                    </a:r>
                    <a:r>
                      <a:rPr lang="ru-RU" sz="1100" b="0" strike="noStrike" spc="-1">
                        <a:solidFill>
                          <a:schemeClr val="bg1"/>
                        </a:solidFill>
                        <a:latin typeface="Times New Roman" panose="02020603050405020304" charset="0"/>
                        <a:cs typeface="Times New Roman" panose="02020603050405020304" charset="0"/>
                      </a:rPr>
                      <a:t>гр. 45%</a:t>
                    </a:r>
                    <a:endParaRPr lang="ru-RU" sz="1100" b="0" strike="noStrike" spc="-1">
                      <a:solidFill>
                        <a:schemeClr val="bg1"/>
                      </a:solidFill>
                      <a:latin typeface="Times New Roman" panose="02020603050405020304" charset="0"/>
                      <a:cs typeface="Times New Roman" panose="02020603050405020304" charset="0"/>
                    </a:endParaRPr>
                  </a:p>
                </c:rich>
              </c:tx>
              <c:numFmt formatCode="General" sourceLinked="true"/>
              <c:spPr>
                <a:noFill/>
                <a:ln>
                  <a:noFill/>
                </a:ln>
                <a:effectLst/>
              </c:spPr>
              <c:txPr>
                <a:bodyPr rot="0" spcFirstLastPara="0" vertOverflow="ellipsis" vert="horz" wrap="square" lIns="38100" tIns="19050" rIns="38100" bIns="19050" anchor="ctr" anchorCtr="true"/>
                <a:lstStyle/>
                <a:p>
                  <a:pPr>
                    <a:defRPr lang="en-US" sz="1000" b="0" i="0" u="none" strike="noStrike" kern="1200" baseline="0">
                      <a:solidFill>
                        <a:schemeClr val="tx1"/>
                      </a:solidFill>
                      <a:latin typeface="+mn-lt"/>
                      <a:ea typeface="+mn-ea"/>
                      <a:cs typeface="+mn-cs"/>
                    </a:defRPr>
                  </a:pPr>
                </a:p>
              </c:txPr>
              <c:dLblPos val="ctr"/>
              <c:showLegendKey val="false"/>
              <c:showVal val="false"/>
              <c:showCatName val="false"/>
              <c:showSerName val="false"/>
              <c:showPercent val="true"/>
              <c:showBubbleSize val="true"/>
              <c:separator>
</c:separator>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true"/>
                  <a:lstStyle/>
                  <a:p>
                    <a:pPr>
                      <a:defRPr lang="en-US" sz="1000" b="0" i="0" u="none" strike="noStrike" kern="1200" baseline="0">
                        <a:solidFill>
                          <a:schemeClr val="tx1"/>
                        </a:solidFill>
                        <a:latin typeface="+mn-lt"/>
                        <a:ea typeface="+mn-ea"/>
                        <a:cs typeface="+mn-cs"/>
                      </a:defRPr>
                    </a:pPr>
                    <a:r>
                      <a:rPr lang="en-US" sz="1100" b="0" strike="noStrike" spc="-1">
                        <a:solidFill>
                          <a:schemeClr val="bg1"/>
                        </a:solidFill>
                        <a:latin typeface="Times New Roman" panose="02020603050405020304" charset="0"/>
                        <a:cs typeface="Times New Roman" panose="02020603050405020304" charset="0"/>
                      </a:rPr>
                      <a:t>III </a:t>
                    </a:r>
                    <a:r>
                      <a:rPr lang="ru-RU" sz="1100" b="0" strike="noStrike" spc="-1">
                        <a:solidFill>
                          <a:schemeClr val="bg1"/>
                        </a:solidFill>
                        <a:latin typeface="Times New Roman" panose="02020603050405020304" charset="0"/>
                        <a:cs typeface="Times New Roman" panose="02020603050405020304" charset="0"/>
                      </a:rPr>
                      <a:t>гр. 37%</a:t>
                    </a:r>
                    <a:endParaRPr lang="ru-RU" sz="1100" b="0" strike="noStrike" spc="-1">
                      <a:solidFill>
                        <a:schemeClr val="bg1"/>
                      </a:solidFill>
                      <a:latin typeface="Times New Roman" panose="02020603050405020304" charset="0"/>
                      <a:cs typeface="Times New Roman" panose="02020603050405020304" charset="0"/>
                    </a:endParaRPr>
                  </a:p>
                </c:rich>
              </c:tx>
              <c:numFmt formatCode="General" sourceLinked="true"/>
              <c:spPr>
                <a:noFill/>
                <a:ln>
                  <a:noFill/>
                </a:ln>
                <a:effectLst/>
              </c:spPr>
              <c:txPr>
                <a:bodyPr rot="0" spcFirstLastPara="0" vertOverflow="ellipsis" vert="horz" wrap="square" lIns="38100" tIns="19050" rIns="38100" bIns="19050" anchor="ctr" anchorCtr="true"/>
                <a:lstStyle/>
                <a:p>
                  <a:pPr>
                    <a:defRPr lang="en-US" sz="1000" b="0" i="0" u="none" strike="noStrike" kern="1200" baseline="0">
                      <a:solidFill>
                        <a:schemeClr val="tx1"/>
                      </a:solidFill>
                      <a:latin typeface="+mn-lt"/>
                      <a:ea typeface="+mn-ea"/>
                      <a:cs typeface="+mn-cs"/>
                    </a:defRPr>
                  </a:pPr>
                </a:p>
              </c:txPr>
              <c:dLblPos val="ctr"/>
              <c:showLegendKey val="false"/>
              <c:showVal val="false"/>
              <c:showCatName val="false"/>
              <c:showSerName val="false"/>
              <c:showPercent val="true"/>
              <c:showBubbleSize val="true"/>
              <c:separator>
</c:separator>
              <c:extLst>
                <c:ext xmlns:c15="http://schemas.microsoft.com/office/drawing/2012/chart" uri="{CE6537A1-D6FC-4f65-9D91-7224C49458BB}"/>
              </c:extLst>
            </c:dLbl>
            <c:dLbl>
              <c:idx val="3"/>
              <c:layout/>
              <c:numFmt formatCode="General" sourceLinked="true"/>
              <c:spPr>
                <a:noFill/>
                <a:ln>
                  <a:noFill/>
                </a:ln>
                <a:effectLst/>
              </c:spPr>
              <c:txPr>
                <a:bodyPr rot="0" spcFirstLastPara="0" vertOverflow="ellipsis" vert="horz" wrap="square" lIns="38100" tIns="19050" rIns="38100" bIns="19050" anchor="ctr" anchorCtr="true"/>
                <a:lstStyle/>
                <a:p>
                  <a:pPr>
                    <a:defRPr lang="en-US" sz="1100" b="0" i="0" u="none" strike="noStrike" kern="1200" spc="-1" baseline="0">
                      <a:solidFill>
                        <a:schemeClr val="bg1"/>
                      </a:solidFill>
                      <a:latin typeface="Times New Roman" panose="02020603050405020304" charset="0"/>
                      <a:ea typeface="+mn-ea"/>
                      <a:cs typeface="Times New Roman" panose="02020603050405020304" charset="0"/>
                    </a:defRPr>
                  </a:pPr>
                </a:p>
              </c:txPr>
              <c:dLblPos val="bestFit"/>
              <c:showLegendKey val="false"/>
              <c:showVal val="false"/>
              <c:showCatName val="false"/>
              <c:showSerName val="false"/>
              <c:showPercent val="true"/>
              <c:showBubbleSize val="true"/>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en-US" sz="1100" b="0" i="0" u="none" strike="noStrike" kern="1200" spc="-1" baseline="0">
                    <a:solidFill>
                      <a:schemeClr val="bg1"/>
                    </a:solidFill>
                    <a:latin typeface="Times New Roman" panose="02020603050405020304" charset="0"/>
                    <a:ea typeface="+mn-ea"/>
                    <a:cs typeface="Times New Roman" panose="02020603050405020304" charset="0"/>
                  </a:defRPr>
                </a:pPr>
              </a:p>
            </c:txPr>
            <c:dLblPos val="ctr"/>
            <c:showLegendKey val="false"/>
            <c:showVal val="false"/>
            <c:showCatName val="false"/>
            <c:showSerName val="false"/>
            <c:showPercent val="true"/>
            <c:showBubbleSize val="true"/>
            <c:separator>
</c:separator>
            <c:showLeaderLines val="false"/>
            <c:extLst>
              <c:ext xmlns:c15="http://schemas.microsoft.com/office/drawing/2012/chart" uri="{CE6537A1-D6FC-4f65-9D91-7224C49458BB}">
                <c15:layout/>
                <c15:showLeaderLines val="false"/>
                <c15:leaderLines/>
              </c:ext>
            </c:extLst>
          </c:dLbls>
          <c:cat>
            <c:strRef>
              <c:f>categories</c:f>
              <c:strCache>
                <c:ptCount val="4"/>
                <c:pt idx="0">
                  <c:v>I группа</c:v>
                </c:pt>
                <c:pt idx="1">
                  <c:v>II группа</c:v>
                </c:pt>
                <c:pt idx="2">
                  <c:v>III группа</c:v>
                </c:pt>
                <c:pt idx="3">
                  <c:v>дети-инвалиды</c:v>
                </c:pt>
              </c:strCache>
            </c:strRef>
          </c:cat>
          <c:val>
            <c:numRef>
              <c:f>0</c:f>
              <c:numCache>
                <c:formatCode>General</c:formatCode>
                <c:ptCount val="4"/>
                <c:pt idx="0">
                  <c:v>12</c:v>
                </c:pt>
                <c:pt idx="1">
                  <c:v>45</c:v>
                </c:pt>
                <c:pt idx="2">
                  <c:v>37</c:v>
                </c:pt>
                <c:pt idx="3">
                  <c:v>6</c:v>
                </c:pt>
              </c:numCache>
            </c:numRef>
          </c:val>
        </c:ser>
        <c:dLbls>
          <c:showLegendKey val="false"/>
          <c:showVal val="false"/>
          <c:showCatName val="false"/>
          <c:showSerName val="false"/>
          <c:showPercent val="false"/>
          <c:showBubbleSize val="false"/>
          <c:showLeaderLines val="false"/>
        </c:dLbls>
        <c:firstSliceAng val="0"/>
      </c:pieChart>
      <c:spPr>
        <a:noFill/>
        <a:ln>
          <a:noFill/>
        </a:ln>
      </c:spPr>
    </c:plotArea>
    <c:plotVisOnly val="true"/>
    <c:dispBlanksAs val="gap"/>
    <c:showDLblsOverMax val="true"/>
  </c:chart>
  <c:spPr>
    <a:solidFill>
      <a:srgbClr val="FFFFFF"/>
    </a:solidFill>
    <a:ln w="9360" cap="flat" cmpd="sng" algn="ctr">
      <a:noFill/>
      <a:prstDash val="solid"/>
      <a:round/>
    </a:ln>
  </c:spPr>
  <c:txPr>
    <a:bodyPr/>
    <a:lstStyle/>
    <a:p>
      <a:pPr>
        <a:defRPr lang="en-US"/>
      </a:pPr>
    </a:p>
  </c:txPr>
  <c:externalData r:id="rId1">
    <c:autoUpdate val="false"/>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VVSU</Company>
  <Pages>8</Pages>
  <Words>2634</Words>
  <Characters>15019</Characters>
  <Lines>125</Lines>
  <Paragraphs>35</Paragraphs>
  <TotalTime>3</TotalTime>
  <ScaleCrop>false</ScaleCrop>
  <LinksUpToDate>false</LinksUpToDate>
  <CharactersWithSpaces>17618</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2020-05-12T17:47:00Z</dcterms:created>
  <dc:creator>Зиглина Василиса</dc:creator>
  <cp:lastModifiedBy>user02</cp:lastModifiedBy>
  <dcterms:modified xsi:type="dcterms:W3CDTF">2020-12-18T16:24:30Z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1033-11.1.0.9719</vt:lpwstr>
  </property>
</Properties>
</file>